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9F159" w14:textId="1D3F9337" w:rsidR="0081450E" w:rsidRPr="00967CFB" w:rsidRDefault="0081450E" w:rsidP="0081450E">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D975EC">
        <w:rPr>
          <w:rFonts w:ascii="Arial" w:hAnsi="Arial" w:cs="Arial"/>
          <w:b/>
          <w:bCs/>
          <w:sz w:val="28"/>
        </w:rPr>
        <w:t>9443</w:t>
      </w:r>
    </w:p>
    <w:p w14:paraId="1C9C9AC8" w14:textId="77777777" w:rsidR="0081450E" w:rsidRPr="009513AC" w:rsidRDefault="0081450E" w:rsidP="0081450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9BB7E43" w14:textId="77777777" w:rsidR="00C86563" w:rsidRPr="0081450E" w:rsidRDefault="00C86563" w:rsidP="0065666C">
      <w:pPr>
        <w:spacing w:before="0" w:after="0" w:line="300" w:lineRule="auto"/>
        <w:ind w:left="1990" w:hanging="1990"/>
        <w:jc w:val="left"/>
        <w:rPr>
          <w:rFonts w:eastAsia="宋体"/>
          <w:b/>
          <w:sz w:val="22"/>
          <w:szCs w:val="22"/>
          <w:lang w:eastAsia="en-US"/>
        </w:rPr>
      </w:pPr>
    </w:p>
    <w:p w14:paraId="334925BC" w14:textId="2A90FF6B" w:rsidR="00517AEA" w:rsidRPr="002A482D" w:rsidRDefault="00BD2605"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r>
      <w:r w:rsidR="00884F48">
        <w:rPr>
          <w:rFonts w:eastAsia="宋体"/>
          <w:b/>
          <w:sz w:val="22"/>
          <w:szCs w:val="22"/>
          <w:lang w:val="en-US" w:eastAsia="en-US"/>
        </w:rPr>
        <w:t>8</w:t>
      </w:r>
      <w:r>
        <w:rPr>
          <w:rFonts w:eastAsia="宋体"/>
          <w:b/>
          <w:sz w:val="22"/>
          <w:szCs w:val="22"/>
          <w:lang w:val="en-US" w:eastAsia="en-US"/>
        </w:rPr>
        <w:t>.</w:t>
      </w:r>
      <w:r w:rsidR="004B50F4">
        <w:rPr>
          <w:rFonts w:eastAsia="宋体"/>
          <w:b/>
          <w:sz w:val="22"/>
          <w:szCs w:val="22"/>
          <w:lang w:val="en-US" w:eastAsia="en-US"/>
        </w:rPr>
        <w:t>16.</w:t>
      </w:r>
      <w:r w:rsidR="00154489">
        <w:rPr>
          <w:rFonts w:eastAsia="宋体"/>
          <w:b/>
          <w:sz w:val="22"/>
          <w:szCs w:val="22"/>
          <w:lang w:val="en-US" w:eastAsia="en-US"/>
        </w:rPr>
        <w:t>1</w:t>
      </w:r>
      <w:r w:rsidR="00F14A44">
        <w:rPr>
          <w:rFonts w:eastAsia="宋体"/>
          <w:b/>
          <w:sz w:val="22"/>
          <w:szCs w:val="22"/>
          <w:lang w:val="en-US" w:eastAsia="en-US"/>
        </w:rPr>
        <w:t>3</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250FEFB8"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the</w:t>
      </w:r>
      <w:r w:rsidR="00872259" w:rsidRPr="00872259">
        <w:rPr>
          <w:rFonts w:eastAsia="宋体"/>
          <w:b/>
          <w:sz w:val="22"/>
          <w:szCs w:val="22"/>
          <w:lang w:val="en-US" w:eastAsia="en-US"/>
        </w:rPr>
        <w:t xml:space="preserve"> </w:t>
      </w:r>
      <w:r w:rsidR="004B50F4">
        <w:rPr>
          <w:rFonts w:eastAsia="宋体"/>
          <w:b/>
          <w:sz w:val="22"/>
          <w:szCs w:val="22"/>
          <w:lang w:val="en-US" w:eastAsia="en-US"/>
        </w:rPr>
        <w:t>UE features</w:t>
      </w:r>
      <w:r w:rsidR="005165A1">
        <w:rPr>
          <w:rFonts w:eastAsia="宋体"/>
          <w:b/>
          <w:sz w:val="22"/>
          <w:szCs w:val="22"/>
          <w:lang w:val="en-US" w:eastAsia="en-US"/>
        </w:rPr>
        <w:t xml:space="preserve"> for </w:t>
      </w:r>
      <w:r w:rsidR="00154489">
        <w:rPr>
          <w:rFonts w:eastAsia="宋体"/>
          <w:b/>
          <w:sz w:val="22"/>
          <w:szCs w:val="22"/>
          <w:lang w:val="en-US" w:eastAsia="en-US"/>
        </w:rPr>
        <w:t>IoT</w:t>
      </w:r>
      <w:r w:rsidR="005165A1">
        <w:rPr>
          <w:rFonts w:eastAsia="宋体"/>
          <w:b/>
          <w:sz w:val="22"/>
          <w:szCs w:val="22"/>
          <w:lang w:val="en-US" w:eastAsia="en-US"/>
        </w:rPr>
        <w:t xml:space="preserve">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0D8AC727" w14:textId="2B124955" w:rsidR="00CA45EB" w:rsidRPr="00014FAD" w:rsidRDefault="00696015" w:rsidP="00014FAD">
      <w:pPr>
        <w:spacing w:before="0" w:line="240" w:lineRule="auto"/>
        <w:jc w:val="lef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sidR="002B4304">
        <w:rPr>
          <w:rFonts w:eastAsiaTheme="minorEastAsia"/>
          <w:lang w:eastAsia="zh-CN"/>
        </w:rPr>
        <w:t>1#11</w:t>
      </w:r>
      <w:r w:rsidR="00610972">
        <w:rPr>
          <w:rFonts w:eastAsiaTheme="minorEastAsia"/>
          <w:lang w:eastAsia="zh-CN"/>
        </w:rPr>
        <w:t>4</w:t>
      </w:r>
      <w:r>
        <w:rPr>
          <w:rFonts w:eastAsiaTheme="minorEastAsia"/>
          <w:lang w:eastAsia="zh-CN"/>
        </w:rPr>
        <w:t xml:space="preserve"> meeting, </w:t>
      </w:r>
      <w:r w:rsidR="006C3B33">
        <w:rPr>
          <w:rFonts w:eastAsiaTheme="minorEastAsia"/>
          <w:lang w:eastAsia="zh-CN"/>
        </w:rPr>
        <w:t>the</w:t>
      </w:r>
      <w:r w:rsidR="009D5CFC">
        <w:rPr>
          <w:rFonts w:eastAsiaTheme="minorEastAsia"/>
          <w:lang w:eastAsia="zh-CN"/>
        </w:rPr>
        <w:t xml:space="preserve"> UE</w:t>
      </w:r>
      <w:r w:rsidR="006C3B33">
        <w:rPr>
          <w:rFonts w:eastAsiaTheme="minorEastAsia"/>
          <w:lang w:eastAsia="zh-CN"/>
        </w:rPr>
        <w:t xml:space="preserve"> </w:t>
      </w:r>
      <w:r w:rsidR="009D5CFC">
        <w:rPr>
          <w:rFonts w:eastAsiaTheme="minorEastAsia"/>
          <w:lang w:eastAsia="zh-CN"/>
        </w:rPr>
        <w:t xml:space="preserve">features </w:t>
      </w:r>
      <w:r w:rsidR="006C3B33">
        <w:rPr>
          <w:rFonts w:eastAsiaTheme="minorEastAsia"/>
          <w:lang w:eastAsia="zh-CN"/>
        </w:rPr>
        <w:t>for IoT NTN</w:t>
      </w:r>
      <w:r w:rsidR="009D5CFC">
        <w:rPr>
          <w:rFonts w:eastAsiaTheme="minorEastAsia"/>
          <w:lang w:eastAsia="zh-CN"/>
        </w:rPr>
        <w:t xml:space="preserve"> </w:t>
      </w:r>
      <w:r w:rsidR="001324D3">
        <w:rPr>
          <w:rFonts w:eastAsiaTheme="minorEastAsia"/>
          <w:lang w:eastAsia="zh-CN"/>
        </w:rPr>
        <w:t>are</w:t>
      </w:r>
      <w:r w:rsidR="009D5CFC">
        <w:rPr>
          <w:rFonts w:eastAsiaTheme="minorEastAsia"/>
          <w:lang w:eastAsia="zh-CN"/>
        </w:rPr>
        <w:t xml:space="preserve"> </w:t>
      </w:r>
      <w:r w:rsidR="002614AB">
        <w:rPr>
          <w:rFonts w:eastAsiaTheme="minorEastAsia"/>
          <w:lang w:eastAsia="zh-CN"/>
        </w:rPr>
        <w:t>updated</w:t>
      </w:r>
      <w:r w:rsidR="009D5CFC">
        <w:rPr>
          <w:rFonts w:eastAsiaTheme="minorEastAsia"/>
          <w:lang w:eastAsia="zh-CN"/>
        </w:rPr>
        <w:t xml:space="preserve"> in</w:t>
      </w:r>
      <w:r w:rsidR="00CC1F06">
        <w:rPr>
          <w:rFonts w:eastAsiaTheme="minorEastAsia"/>
          <w:lang w:eastAsia="zh-CN"/>
        </w:rPr>
        <w:t xml:space="preserve"> [1]</w:t>
      </w:r>
      <w:r>
        <w:rPr>
          <w:rFonts w:eastAsiaTheme="minorEastAsia"/>
          <w:lang w:eastAsia="zh-CN"/>
        </w:rPr>
        <w:t>:</w:t>
      </w:r>
    </w:p>
    <w:p w14:paraId="2CD55970" w14:textId="2ECE1B5C" w:rsidR="00292ED6" w:rsidRPr="002A482D" w:rsidRDefault="00292ED6" w:rsidP="00292ED6">
      <w:pPr>
        <w:rPr>
          <w:rFonts w:eastAsiaTheme="minorEastAsia"/>
          <w:lang w:val="en-US" w:eastAsia="zh-CN"/>
        </w:rPr>
      </w:pPr>
      <w:r w:rsidRPr="002A482D">
        <w:rPr>
          <w:rFonts w:eastAsiaTheme="minorEastAsia"/>
          <w:lang w:val="en-US" w:eastAsia="zh-CN"/>
        </w:rPr>
        <w:t xml:space="preserve">In this contribution, we present </w:t>
      </w:r>
      <w:r w:rsidR="00CA45EB">
        <w:rPr>
          <w:rFonts w:eastAsiaTheme="minorEastAsia"/>
          <w:lang w:val="en-US" w:eastAsia="zh-CN"/>
        </w:rPr>
        <w:t>our comments on the remaining issues of UE features for IoT NTN</w:t>
      </w:r>
      <w:r w:rsidR="002F2AD6">
        <w:rPr>
          <w:rFonts w:eastAsiaTheme="minorEastAsia"/>
          <w:lang w:val="en-US" w:eastAsia="zh-CN"/>
        </w:rPr>
        <w:t>.</w:t>
      </w: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48507607" w14:textId="42C81416" w:rsidR="004841E8" w:rsidRDefault="004841E8" w:rsidP="007A4B19">
      <w:pPr>
        <w:rPr>
          <w:rFonts w:eastAsiaTheme="minorEastAsia"/>
          <w:b/>
          <w:u w:val="single"/>
          <w:lang w:val="en-US" w:eastAsia="zh-CN"/>
        </w:rPr>
      </w:pPr>
      <w:r>
        <w:rPr>
          <w:rFonts w:eastAsiaTheme="minorEastAsia"/>
          <w:b/>
          <w:u w:val="single"/>
          <w:lang w:val="en-US" w:eastAsia="zh-CN"/>
        </w:rPr>
        <w:t>Comment 1: on the granularity of the FG</w:t>
      </w:r>
    </w:p>
    <w:p w14:paraId="06B55B4A" w14:textId="2CB8E6BF" w:rsidR="004841E8" w:rsidRDefault="00A819B8" w:rsidP="007A4B19">
      <w:pPr>
        <w:rPr>
          <w:rFonts w:eastAsiaTheme="minorEastAsia"/>
          <w:bCs/>
          <w:lang w:val="en-US" w:eastAsia="zh-CN"/>
        </w:rPr>
      </w:pPr>
      <w:r>
        <w:rPr>
          <w:rFonts w:eastAsiaTheme="minorEastAsia"/>
          <w:bCs/>
          <w:lang w:val="en-US" w:eastAsia="zh-CN"/>
        </w:rPr>
        <w:t xml:space="preserve">The NTN features may be implemented differently on different operating bands, and thus it is </w:t>
      </w:r>
      <w:r w:rsidR="004841E8">
        <w:rPr>
          <w:rFonts w:eastAsiaTheme="minorEastAsia"/>
          <w:bCs/>
          <w:lang w:val="en-US" w:eastAsia="zh-CN"/>
        </w:rPr>
        <w:t>suggest</w:t>
      </w:r>
      <w:r>
        <w:rPr>
          <w:rFonts w:eastAsiaTheme="minorEastAsia"/>
          <w:bCs/>
          <w:lang w:val="en-US" w:eastAsia="zh-CN"/>
        </w:rPr>
        <w:t>ed</w:t>
      </w:r>
      <w:r w:rsidR="004841E8">
        <w:rPr>
          <w:rFonts w:eastAsiaTheme="minorEastAsia"/>
          <w:bCs/>
          <w:lang w:val="en-US" w:eastAsia="zh-CN"/>
        </w:rPr>
        <w:t xml:space="preserve"> to have per band defined FG for all the IoT NTN features.</w:t>
      </w:r>
    </w:p>
    <w:p w14:paraId="73E282CA" w14:textId="46978087" w:rsidR="004841E8" w:rsidRDefault="00F1690F" w:rsidP="007A4B19">
      <w:pPr>
        <w:rPr>
          <w:rFonts w:eastAsiaTheme="minorEastAsia"/>
          <w:b/>
          <w:i/>
          <w:iCs/>
          <w:lang w:val="en-US" w:eastAsia="zh-CN"/>
        </w:rPr>
      </w:pPr>
      <w:r w:rsidRPr="006C7165">
        <w:rPr>
          <w:rFonts w:eastAsiaTheme="minorEastAsia" w:hint="eastAsia"/>
          <w:b/>
          <w:i/>
          <w:iCs/>
          <w:lang w:val="en-US" w:eastAsia="zh-CN"/>
        </w:rPr>
        <w:t>P</w:t>
      </w:r>
      <w:r w:rsidRPr="006C7165">
        <w:rPr>
          <w:rFonts w:eastAsiaTheme="minorEastAsia"/>
          <w:b/>
          <w:i/>
          <w:iCs/>
          <w:lang w:val="en-US" w:eastAsia="zh-CN"/>
        </w:rPr>
        <w:t>roposal 1: The granularity of all the FGs defined for IoT NTN is per band.</w:t>
      </w:r>
    </w:p>
    <w:p w14:paraId="3D2A9CFA" w14:textId="2BC77C0E" w:rsidR="006122FF" w:rsidRDefault="00492C2D" w:rsidP="007A4B19">
      <w:pPr>
        <w:rPr>
          <w:rFonts w:eastAsiaTheme="minorEastAsia"/>
          <w:b/>
          <w:u w:val="single"/>
          <w:lang w:val="en-US" w:eastAsia="zh-CN"/>
        </w:rPr>
      </w:pPr>
      <w:r w:rsidRPr="00492C2D">
        <w:rPr>
          <w:rFonts w:eastAsiaTheme="minorEastAsia"/>
          <w:b/>
          <w:u w:val="single"/>
          <w:lang w:val="en-US" w:eastAsia="zh-CN"/>
        </w:rPr>
        <w:t>C</w:t>
      </w:r>
      <w:r w:rsidRPr="00492C2D">
        <w:rPr>
          <w:rFonts w:eastAsiaTheme="minorEastAsia" w:hint="eastAsia"/>
          <w:b/>
          <w:u w:val="single"/>
          <w:lang w:val="en-US" w:eastAsia="zh-CN"/>
        </w:rPr>
        <w:t>omment</w:t>
      </w:r>
      <w:r w:rsidRPr="00492C2D">
        <w:rPr>
          <w:rFonts w:eastAsiaTheme="minorEastAsia"/>
          <w:b/>
          <w:u w:val="single"/>
          <w:lang w:val="en-US" w:eastAsia="zh-CN"/>
        </w:rPr>
        <w:t xml:space="preserve"> 2:</w:t>
      </w:r>
      <w:r>
        <w:rPr>
          <w:rFonts w:eastAsiaTheme="minorEastAsia"/>
          <w:b/>
          <w:u w:val="single"/>
          <w:lang w:val="en-US" w:eastAsia="zh-CN"/>
        </w:rPr>
        <w:t xml:space="preserve"> </w:t>
      </w:r>
      <w:r w:rsidR="00B917C1">
        <w:rPr>
          <w:rFonts w:eastAsiaTheme="minorEastAsia"/>
          <w:b/>
          <w:u w:val="single"/>
          <w:lang w:val="en-US" w:eastAsia="zh-CN"/>
        </w:rPr>
        <w:t xml:space="preserve">on </w:t>
      </w:r>
      <w:r>
        <w:rPr>
          <w:rFonts w:eastAsiaTheme="minorEastAsia"/>
          <w:b/>
          <w:u w:val="single"/>
          <w:lang w:val="en-US" w:eastAsia="zh-CN"/>
        </w:rPr>
        <w:t>GSO/NGSO differentiation</w:t>
      </w:r>
    </w:p>
    <w:p w14:paraId="64F6686A" w14:textId="09D98E48" w:rsidR="00492C2D" w:rsidRDefault="00492C2D" w:rsidP="007A4B19">
      <w:pPr>
        <w:rPr>
          <w:rFonts w:eastAsiaTheme="minorEastAsia"/>
          <w:bCs/>
          <w:lang w:val="en-US" w:eastAsia="zh-CN"/>
        </w:rPr>
      </w:pPr>
      <w:r>
        <w:rPr>
          <w:rFonts w:eastAsiaTheme="minorEastAsia"/>
          <w:bCs/>
          <w:lang w:val="en-US" w:eastAsia="zh-CN"/>
        </w:rPr>
        <w:t xml:space="preserve">In our understanding, the UE behavior is the same regardless of the operation platform. Thus, we don’t see the need to </w:t>
      </w:r>
      <w:r w:rsidRPr="00492C2D">
        <w:rPr>
          <w:rFonts w:eastAsiaTheme="minorEastAsia"/>
          <w:bCs/>
          <w:lang w:val="en-US" w:eastAsia="zh-CN"/>
        </w:rPr>
        <w:t xml:space="preserve">design signaling </w:t>
      </w:r>
      <w:r w:rsidR="004C6C49">
        <w:rPr>
          <w:rFonts w:eastAsiaTheme="minorEastAsia"/>
          <w:bCs/>
          <w:lang w:val="en-US" w:eastAsia="zh-CN"/>
        </w:rPr>
        <w:t xml:space="preserve">to differentiate the </w:t>
      </w:r>
      <w:r w:rsidRPr="00492C2D">
        <w:rPr>
          <w:rFonts w:eastAsiaTheme="minorEastAsia"/>
          <w:bCs/>
          <w:lang w:val="en-US" w:eastAsia="zh-CN"/>
        </w:rPr>
        <w:t>GSO/NGSO</w:t>
      </w:r>
      <w:r>
        <w:rPr>
          <w:rFonts w:eastAsiaTheme="minorEastAsia"/>
          <w:bCs/>
          <w:lang w:val="en-US" w:eastAsia="zh-CN"/>
        </w:rPr>
        <w:t>.</w:t>
      </w:r>
    </w:p>
    <w:p w14:paraId="219D30F0" w14:textId="629B61CE" w:rsidR="00492C2D" w:rsidRDefault="00492C2D" w:rsidP="007A4B19">
      <w:pPr>
        <w:rPr>
          <w:rFonts w:eastAsiaTheme="minorEastAsia"/>
          <w:b/>
          <w:i/>
          <w:iCs/>
          <w:lang w:val="en-US" w:eastAsia="zh-CN"/>
        </w:rPr>
      </w:pPr>
      <w:r w:rsidRPr="00B73903">
        <w:rPr>
          <w:rFonts w:eastAsiaTheme="minorEastAsia" w:hint="eastAsia"/>
          <w:b/>
          <w:i/>
          <w:iCs/>
          <w:lang w:val="en-US" w:eastAsia="zh-CN"/>
        </w:rPr>
        <w:t>P</w:t>
      </w:r>
      <w:r w:rsidRPr="00B73903">
        <w:rPr>
          <w:rFonts w:eastAsiaTheme="minorEastAsia"/>
          <w:b/>
          <w:i/>
          <w:iCs/>
          <w:lang w:val="en-US" w:eastAsia="zh-CN"/>
        </w:rPr>
        <w:t xml:space="preserve">roposal 2: No need to design signaling </w:t>
      </w:r>
      <w:r w:rsidR="004C6C49" w:rsidRPr="004C6C49">
        <w:rPr>
          <w:rFonts w:eastAsiaTheme="minorEastAsia"/>
          <w:b/>
          <w:i/>
          <w:iCs/>
          <w:lang w:val="en-US" w:eastAsia="zh-CN"/>
        </w:rPr>
        <w:t>to differentiate the GSO/NGSO</w:t>
      </w:r>
      <w:r w:rsidR="00B73903" w:rsidRPr="00B73903">
        <w:rPr>
          <w:rFonts w:eastAsiaTheme="minorEastAsia"/>
          <w:b/>
          <w:i/>
          <w:iCs/>
          <w:lang w:val="en-US" w:eastAsia="zh-CN"/>
        </w:rPr>
        <w:t>.</w:t>
      </w:r>
    </w:p>
    <w:p w14:paraId="62472D45" w14:textId="77777777" w:rsidR="00B73903" w:rsidRPr="00B73903" w:rsidRDefault="00B73903" w:rsidP="007A4B19">
      <w:pPr>
        <w:rPr>
          <w:rFonts w:eastAsiaTheme="minorEastAsia"/>
          <w:b/>
          <w:i/>
          <w:iCs/>
          <w:lang w:val="en-US" w:eastAsia="zh-CN"/>
        </w:rPr>
      </w:pPr>
    </w:p>
    <w:p w14:paraId="1AC610FF" w14:textId="364BF962" w:rsidR="004841E8" w:rsidRPr="002D7C81" w:rsidRDefault="004841E8" w:rsidP="007A4B19">
      <w:pPr>
        <w:rPr>
          <w:rFonts w:eastAsiaTheme="minorEastAsia"/>
          <w:b/>
          <w:u w:val="single"/>
          <w:lang w:val="en-US" w:eastAsia="zh-CN"/>
        </w:rPr>
      </w:pPr>
      <w:r w:rsidRPr="002D7C81">
        <w:rPr>
          <w:rFonts w:eastAsiaTheme="minorEastAsia"/>
          <w:b/>
          <w:u w:val="single"/>
          <w:lang w:val="en-US" w:eastAsia="zh-CN"/>
        </w:rPr>
        <w:t xml:space="preserve">Comment </w:t>
      </w:r>
      <w:r w:rsidR="00E63890">
        <w:rPr>
          <w:rFonts w:eastAsiaTheme="minorEastAsia"/>
          <w:b/>
          <w:u w:val="single"/>
          <w:lang w:val="en-US" w:eastAsia="zh-CN"/>
        </w:rPr>
        <w:t>3</w:t>
      </w:r>
      <w:r w:rsidR="002D7C81" w:rsidRPr="002D7C81">
        <w:rPr>
          <w:rFonts w:eastAsiaTheme="minorEastAsia"/>
          <w:b/>
          <w:u w:val="single"/>
          <w:lang w:val="en-US" w:eastAsia="zh-CN"/>
        </w:rPr>
        <w:t>:</w:t>
      </w:r>
      <w:r w:rsidR="002D7C81">
        <w:rPr>
          <w:rFonts w:eastAsiaTheme="minorEastAsia"/>
          <w:b/>
          <w:u w:val="single"/>
          <w:lang w:val="en-US" w:eastAsia="zh-CN"/>
        </w:rPr>
        <w:t xml:space="preserve"> on whether to have separate FGs for different HARQ disabling schemes</w:t>
      </w:r>
    </w:p>
    <w:p w14:paraId="3582ED33" w14:textId="5BC1FF6C" w:rsidR="004841E8" w:rsidRDefault="002D7C81" w:rsidP="007A4B19">
      <w:pPr>
        <w:rPr>
          <w:rFonts w:eastAsiaTheme="minorEastAsia"/>
          <w:bCs/>
          <w:lang w:val="en-US" w:eastAsia="zh-CN"/>
        </w:rPr>
      </w:pPr>
      <w:r>
        <w:rPr>
          <w:rFonts w:eastAsiaTheme="minorEastAsia"/>
          <w:bCs/>
          <w:lang w:val="en-US" w:eastAsia="zh-CN"/>
        </w:rPr>
        <w:t xml:space="preserve">Currently it was agreed to </w:t>
      </w:r>
      <w:r w:rsidR="00134FF9">
        <w:rPr>
          <w:rFonts w:eastAsiaTheme="minorEastAsia"/>
          <w:bCs/>
          <w:lang w:val="en-US" w:eastAsia="zh-CN"/>
        </w:rPr>
        <w:t>have RRC based HARQ disabling (option 1), DCI based direct indicating HARQ disabling (option 3) and DCI + RRC based HARQ disabling (option 1 + option 3). These HARQ disabling schemes can work independently, and the UE behavior can be different even for the DCI based directly indication and DCI based overridden. Thus,</w:t>
      </w:r>
      <w:r w:rsidR="000072B1">
        <w:rPr>
          <w:rFonts w:eastAsiaTheme="minorEastAsia"/>
          <w:bCs/>
          <w:lang w:val="en-US" w:eastAsia="zh-CN"/>
        </w:rPr>
        <w:t xml:space="preserve"> </w:t>
      </w:r>
      <w:r w:rsidR="00134FF9">
        <w:rPr>
          <w:rFonts w:eastAsiaTheme="minorEastAsia"/>
          <w:bCs/>
          <w:lang w:val="en-US" w:eastAsia="zh-CN"/>
        </w:rPr>
        <w:t>we suggest to have separate FG</w:t>
      </w:r>
      <w:r w:rsidR="002977D3">
        <w:rPr>
          <w:rFonts w:eastAsiaTheme="minorEastAsia"/>
          <w:bCs/>
          <w:lang w:val="en-US" w:eastAsia="zh-CN"/>
        </w:rPr>
        <w:t>s</w:t>
      </w:r>
      <w:r w:rsidR="00134FF9">
        <w:rPr>
          <w:rFonts w:eastAsiaTheme="minorEastAsia"/>
          <w:bCs/>
          <w:lang w:val="en-US" w:eastAsia="zh-CN"/>
        </w:rPr>
        <w:t xml:space="preserve"> for different HARQ disabling schemes.</w:t>
      </w:r>
      <w:r w:rsidR="00C51844">
        <w:rPr>
          <w:rFonts w:eastAsiaTheme="minorEastAsia"/>
          <w:bCs/>
          <w:lang w:val="en-US" w:eastAsia="zh-CN"/>
        </w:rPr>
        <w:t xml:space="preserve"> Same comment </w:t>
      </w:r>
      <w:r w:rsidR="00B917C1">
        <w:rPr>
          <w:rFonts w:eastAsiaTheme="minorEastAsia"/>
          <w:bCs/>
          <w:lang w:val="en-US" w:eastAsia="zh-CN"/>
        </w:rPr>
        <w:t>applies</w:t>
      </w:r>
      <w:r w:rsidR="00C51844">
        <w:rPr>
          <w:rFonts w:eastAsiaTheme="minorEastAsia"/>
          <w:bCs/>
          <w:lang w:val="en-US" w:eastAsia="zh-CN"/>
        </w:rPr>
        <w:t xml:space="preserve"> to both NB-IoT and eMTC mode B.</w:t>
      </w:r>
    </w:p>
    <w:p w14:paraId="0233B60B" w14:textId="09B9692F" w:rsidR="005A5DF7" w:rsidRPr="006C7165" w:rsidRDefault="005A5DF7" w:rsidP="007A4B19">
      <w:pPr>
        <w:rPr>
          <w:rFonts w:eastAsiaTheme="minorEastAsia"/>
          <w:b/>
          <w:i/>
          <w:iCs/>
          <w:lang w:val="en-US" w:eastAsia="zh-CN"/>
        </w:rPr>
      </w:pPr>
      <w:r w:rsidRPr="006C7165">
        <w:rPr>
          <w:rFonts w:eastAsiaTheme="minorEastAsia" w:hint="eastAsia"/>
          <w:b/>
          <w:i/>
          <w:iCs/>
          <w:lang w:val="en-US" w:eastAsia="zh-CN"/>
        </w:rPr>
        <w:t>P</w:t>
      </w:r>
      <w:r w:rsidRPr="006C7165">
        <w:rPr>
          <w:rFonts w:eastAsiaTheme="minorEastAsia"/>
          <w:b/>
          <w:i/>
          <w:iCs/>
          <w:lang w:val="en-US" w:eastAsia="zh-CN"/>
        </w:rPr>
        <w:t xml:space="preserve">roposal </w:t>
      </w:r>
      <w:r w:rsidR="00E63890">
        <w:rPr>
          <w:rFonts w:eastAsiaTheme="minorEastAsia"/>
          <w:b/>
          <w:i/>
          <w:iCs/>
          <w:lang w:val="en-US" w:eastAsia="zh-CN"/>
        </w:rPr>
        <w:t>3</w:t>
      </w:r>
      <w:r w:rsidRPr="006C7165">
        <w:rPr>
          <w:rFonts w:eastAsiaTheme="minorEastAsia"/>
          <w:b/>
          <w:i/>
          <w:iCs/>
          <w:lang w:val="en-US" w:eastAsia="zh-CN"/>
        </w:rPr>
        <w:t>: Define separate FGs for different HARQ disabling schemes.</w:t>
      </w:r>
    </w:p>
    <w:p w14:paraId="3D8C54D7" w14:textId="4B9FA275" w:rsidR="002E6F82" w:rsidRDefault="002E6F82" w:rsidP="007A4B19">
      <w:pPr>
        <w:rPr>
          <w:rFonts w:eastAsiaTheme="minorEastAsia"/>
          <w:bCs/>
          <w:lang w:val="en-US" w:eastAsia="zh-CN"/>
        </w:rPr>
      </w:pPr>
    </w:p>
    <w:p w14:paraId="462840FD" w14:textId="3BC587F5" w:rsidR="002E6F82" w:rsidRPr="00BE0195" w:rsidRDefault="00962444" w:rsidP="007A4B19">
      <w:pPr>
        <w:rPr>
          <w:rFonts w:eastAsiaTheme="minorEastAsia"/>
          <w:b/>
          <w:u w:val="single"/>
          <w:lang w:val="en-US" w:eastAsia="zh-CN"/>
        </w:rPr>
      </w:pPr>
      <w:r w:rsidRPr="00BE0195">
        <w:rPr>
          <w:rFonts w:eastAsiaTheme="minorEastAsia"/>
          <w:b/>
          <w:u w:val="single"/>
          <w:lang w:val="en-US" w:eastAsia="zh-CN"/>
        </w:rPr>
        <w:t xml:space="preserve">Comment </w:t>
      </w:r>
      <w:r w:rsidR="00E63890">
        <w:rPr>
          <w:rFonts w:eastAsiaTheme="minorEastAsia"/>
          <w:b/>
          <w:u w:val="single"/>
          <w:lang w:val="en-US" w:eastAsia="zh-CN"/>
        </w:rPr>
        <w:t>4</w:t>
      </w:r>
      <w:r w:rsidRPr="00BE0195">
        <w:rPr>
          <w:rFonts w:eastAsiaTheme="minorEastAsia"/>
          <w:b/>
          <w:u w:val="single"/>
          <w:lang w:val="en-US" w:eastAsia="zh-CN"/>
        </w:rPr>
        <w:t>:</w:t>
      </w:r>
      <w:r w:rsidR="00C51844" w:rsidRPr="00BE0195">
        <w:rPr>
          <w:rFonts w:eastAsiaTheme="minorEastAsia"/>
          <w:b/>
          <w:u w:val="single"/>
          <w:lang w:val="en-US" w:eastAsia="zh-CN"/>
        </w:rPr>
        <w:t xml:space="preserve"> on the PDCCH </w:t>
      </w:r>
      <w:r w:rsidR="00BE0195" w:rsidRPr="00BE0195">
        <w:rPr>
          <w:rFonts w:eastAsiaTheme="minorEastAsia"/>
          <w:b/>
          <w:u w:val="single"/>
          <w:lang w:val="en-US" w:eastAsia="zh-CN"/>
        </w:rPr>
        <w:t xml:space="preserve">monitoring constraint </w:t>
      </w:r>
    </w:p>
    <w:p w14:paraId="70E24F20" w14:textId="1A3DBF44" w:rsidR="00F1690F" w:rsidRDefault="00BE0195" w:rsidP="007A4B19">
      <w:pPr>
        <w:rPr>
          <w:rFonts w:eastAsiaTheme="minorEastAsia"/>
          <w:bCs/>
          <w:lang w:val="en-US" w:eastAsia="zh-CN"/>
        </w:rPr>
      </w:pPr>
      <w:r>
        <w:rPr>
          <w:rFonts w:eastAsiaTheme="minorEastAsia"/>
          <w:bCs/>
          <w:lang w:val="en-US" w:eastAsia="zh-CN"/>
        </w:rPr>
        <w:t xml:space="preserve">The following agreements were made related to the </w:t>
      </w:r>
      <w:r w:rsidR="00F1690F">
        <w:rPr>
          <w:rFonts w:eastAsiaTheme="minorEastAsia"/>
          <w:bCs/>
          <w:lang w:val="en-US" w:eastAsia="zh-CN"/>
        </w:rPr>
        <w:t>N</w:t>
      </w:r>
      <w:r>
        <w:rPr>
          <w:rFonts w:eastAsiaTheme="minorEastAsia"/>
          <w:bCs/>
          <w:lang w:val="en-US" w:eastAsia="zh-CN"/>
        </w:rPr>
        <w:t>PDCCH monitoring</w:t>
      </w:r>
      <w:r w:rsidR="00F1690F">
        <w:rPr>
          <w:rFonts w:eastAsiaTheme="minorEastAsia"/>
          <w:bCs/>
          <w:lang w:val="en-US" w:eastAsia="zh-CN"/>
        </w:rPr>
        <w:t>:</w:t>
      </w:r>
    </w:p>
    <w:p w14:paraId="3A13706C" w14:textId="2498E977" w:rsidR="00F1690F" w:rsidRDefault="00F1690F" w:rsidP="007A4B19">
      <w:pPr>
        <w:rPr>
          <w:rFonts w:eastAsiaTheme="minorEastAsia"/>
          <w:bCs/>
          <w:lang w:val="en-US" w:eastAsia="zh-CN"/>
        </w:rPr>
      </w:pPr>
      <w:r w:rsidRPr="00F1690F">
        <w:rPr>
          <w:rFonts w:eastAsiaTheme="minorEastAsia"/>
          <w:bCs/>
          <w:noProof/>
          <w:lang w:val="en-US" w:eastAsia="zh-CN"/>
        </w:rPr>
        <w:lastRenderedPageBreak/>
        <mc:AlternateContent>
          <mc:Choice Requires="wps">
            <w:drawing>
              <wp:anchor distT="45720" distB="45720" distL="114300" distR="114300" simplePos="0" relativeHeight="251659264" behindDoc="0" locked="0" layoutInCell="1" allowOverlap="1" wp14:anchorId="33E1D345" wp14:editId="360C4C66">
                <wp:simplePos x="0" y="0"/>
                <wp:positionH relativeFrom="column">
                  <wp:posOffset>7620</wp:posOffset>
                </wp:positionH>
                <wp:positionV relativeFrom="paragraph">
                  <wp:posOffset>3810</wp:posOffset>
                </wp:positionV>
                <wp:extent cx="6454140" cy="1404620"/>
                <wp:effectExtent l="0" t="0" r="22860" b="254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4140" cy="1404620"/>
                        </a:xfrm>
                        <a:prstGeom prst="rect">
                          <a:avLst/>
                        </a:prstGeom>
                        <a:solidFill>
                          <a:srgbClr val="FFFFFF"/>
                        </a:solidFill>
                        <a:ln w="9525">
                          <a:solidFill>
                            <a:srgbClr val="000000"/>
                          </a:solidFill>
                          <a:miter lim="800000"/>
                          <a:headEnd/>
                          <a:tailEnd/>
                        </a:ln>
                      </wps:spPr>
                      <wps:txbx>
                        <w:txbxContent>
                          <w:p w14:paraId="5501395C" w14:textId="3221D0DC" w:rsidR="00F1690F" w:rsidRPr="00F1690F" w:rsidRDefault="00F1690F">
                            <w:pPr>
                              <w:rPr>
                                <w:rFonts w:eastAsiaTheme="minorEastAsia"/>
                                <w:u w:val="single"/>
                                <w:lang w:eastAsia="zh-CN"/>
                              </w:rPr>
                            </w:pPr>
                            <w:r w:rsidRPr="00F1690F">
                              <w:rPr>
                                <w:rFonts w:eastAsiaTheme="minorEastAsia" w:hint="eastAsia"/>
                                <w:b/>
                                <w:bCs/>
                                <w:highlight w:val="green"/>
                                <w:u w:val="single"/>
                                <w:lang w:eastAsia="zh-CN"/>
                              </w:rPr>
                              <w:t>A</w:t>
                            </w:r>
                            <w:r w:rsidRPr="00F1690F">
                              <w:rPr>
                                <w:rFonts w:eastAsiaTheme="minorEastAsia"/>
                                <w:b/>
                                <w:bCs/>
                                <w:highlight w:val="green"/>
                                <w:u w:val="single"/>
                                <w:lang w:eastAsia="zh-CN"/>
                              </w:rPr>
                              <w:t>greements (RAN1 110bis-e)</w:t>
                            </w:r>
                            <w:r w:rsidRPr="00F1690F">
                              <w:rPr>
                                <w:rFonts w:eastAsiaTheme="minorEastAsia"/>
                                <w:highlight w:val="green"/>
                                <w:u w:val="single"/>
                                <w:lang w:eastAsia="zh-CN"/>
                              </w:rPr>
                              <w:t>:</w:t>
                            </w:r>
                          </w:p>
                          <w:p w14:paraId="353FF14D" w14:textId="5DAFB739" w:rsidR="00F1690F" w:rsidRDefault="00F1690F">
                            <w:r w:rsidRPr="00F1690F">
                              <w:t>For a DL HARQ process with disabled HARQ feedback in NB-IoT, UE is not required to monitor NPDCCH in a period of Y=12(ms) from the end of reception of the NPDSCH.</w:t>
                            </w:r>
                          </w:p>
                          <w:p w14:paraId="3914F9C6" w14:textId="74BEE244" w:rsidR="00F1690F" w:rsidRDefault="00F1690F">
                            <w:pPr>
                              <w:rPr>
                                <w:rFonts w:eastAsia="PMingLiU"/>
                              </w:rPr>
                            </w:pPr>
                          </w:p>
                          <w:p w14:paraId="0BEE8E37" w14:textId="347C1802" w:rsidR="00F1690F" w:rsidRDefault="00F1690F">
                            <w:r w:rsidRPr="00FE422B">
                              <w:rPr>
                                <w:highlight w:val="darkYellow"/>
                              </w:rPr>
                              <w:t>Working assumption</w:t>
                            </w:r>
                            <w:r>
                              <w:rPr>
                                <w:highlight w:val="darkYellow"/>
                              </w:rPr>
                              <w:t>(RAN1 113)</w:t>
                            </w:r>
                            <w:r w:rsidRPr="00FE422B">
                              <w:rPr>
                                <w:highlight w:val="darkYellow"/>
                              </w:rPr>
                              <w:t xml:space="preserve"> </w:t>
                            </w:r>
                          </w:p>
                          <w:p w14:paraId="48C83C55" w14:textId="17B1E3BD" w:rsidR="00F1690F" w:rsidRPr="00F1690F" w:rsidRDefault="00F1690F">
                            <w:pPr>
                              <w:rPr>
                                <w:rFonts w:eastAsia="PMingLiU"/>
                              </w:rPr>
                            </w:pPr>
                            <w:r w:rsidRPr="00FE422B">
                              <w:t>For Option 1 + Option 3 DCI based overridden mechanism, for a HARQ process configured as HARQ feedback disabled by per-HARQ process bitmap signaling and further reversed to HARQ feedback enabled by DCI, the NBIoT UE does not wait for an RTT+3ms (</w:t>
                            </w:r>
                            <w:r w:rsidRPr="00FE422B">
                              <w:rPr>
                                <w:rFonts w:hint="eastAsia"/>
                              </w:rPr>
                              <w:t>i.</w:t>
                            </w:r>
                            <w:r w:rsidRPr="00FE422B">
                              <w:t xml:space="preserve">e., till subframe </w:t>
                            </w:r>
                            <w:r w:rsidRPr="00FE422B">
                              <w:rPr>
                                <w:i/>
                                <w:iCs/>
                              </w:rPr>
                              <w:t>n+Kmac+3</w:t>
                            </w:r>
                            <w:r w:rsidRPr="00FE422B">
                              <w:t xml:space="preserve"> in TS36.213 section 16.6) before monitoring NPDCCH for the same HARQ process (or monitoring any NPDCCH for the case of single HARQ process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3E1D345" id="_x0000_t202" coordsize="21600,21600" o:spt="202" path="m,l,21600r21600,l21600,xe">
                <v:stroke joinstyle="miter"/>
                <v:path gradientshapeok="t" o:connecttype="rect"/>
              </v:shapetype>
              <v:shape id="文本框 2" o:spid="_x0000_s1026" type="#_x0000_t202" style="position:absolute;left:0;text-align:left;margin-left:.6pt;margin-top:.3pt;width:508.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">
                <v:textbox style="mso-fit-shape-to-text:t">
                  <w:txbxContent>
                    <w:p w14:paraId="5501395C" w14:textId="3221D0DC" w:rsidR="00F1690F" w:rsidRPr="00F1690F" w:rsidRDefault="00F1690F">
                      <w:pPr>
                        <w:rPr>
                          <w:rFonts w:eastAsiaTheme="minorEastAsia"/>
                          <w:u w:val="single"/>
                          <w:lang w:eastAsia="zh-CN"/>
                        </w:rPr>
                      </w:pPr>
                      <w:r w:rsidRPr="00F1690F">
                        <w:rPr>
                          <w:rFonts w:eastAsiaTheme="minorEastAsia" w:hint="eastAsia"/>
                          <w:b/>
                          <w:bCs/>
                          <w:highlight w:val="green"/>
                          <w:u w:val="single"/>
                          <w:lang w:eastAsia="zh-CN"/>
                        </w:rPr>
                        <w:t>A</w:t>
                      </w:r>
                      <w:r w:rsidRPr="00F1690F">
                        <w:rPr>
                          <w:rFonts w:eastAsiaTheme="minorEastAsia"/>
                          <w:b/>
                          <w:bCs/>
                          <w:highlight w:val="green"/>
                          <w:u w:val="single"/>
                          <w:lang w:eastAsia="zh-CN"/>
                        </w:rPr>
                        <w:t>greements (RAN1 110bis-e)</w:t>
                      </w:r>
                      <w:r w:rsidRPr="00F1690F">
                        <w:rPr>
                          <w:rFonts w:eastAsiaTheme="minorEastAsia"/>
                          <w:highlight w:val="green"/>
                          <w:u w:val="single"/>
                          <w:lang w:eastAsia="zh-CN"/>
                        </w:rPr>
                        <w:t>:</w:t>
                      </w:r>
                    </w:p>
                    <w:p w14:paraId="353FF14D" w14:textId="5DAFB739" w:rsidR="00F1690F" w:rsidRDefault="00F1690F">
                      <w:r w:rsidRPr="00F1690F">
                        <w:t>For a DL HARQ process with disabled HARQ feedback in NB-IoT, UE is not required to monitor NPDCCH in a period of Y=12(ms) from the end of reception of the NPDSCH.</w:t>
                      </w:r>
                    </w:p>
                    <w:p w14:paraId="3914F9C6" w14:textId="74BEE244" w:rsidR="00F1690F" w:rsidRDefault="00F1690F">
                      <w:pPr>
                        <w:rPr>
                          <w:rFonts w:eastAsia="PMingLiU"/>
                        </w:rPr>
                      </w:pPr>
                    </w:p>
                    <w:p w14:paraId="0BEE8E37" w14:textId="347C1802" w:rsidR="00F1690F" w:rsidRDefault="00F1690F">
                      <w:r w:rsidRPr="00FE422B">
                        <w:rPr>
                          <w:highlight w:val="darkYellow"/>
                        </w:rPr>
                        <w:t>Working assumption</w:t>
                      </w:r>
                      <w:r>
                        <w:rPr>
                          <w:highlight w:val="darkYellow"/>
                        </w:rPr>
                        <w:t>(RAN1 113)</w:t>
                      </w:r>
                      <w:r w:rsidRPr="00FE422B">
                        <w:rPr>
                          <w:highlight w:val="darkYellow"/>
                        </w:rPr>
                        <w:t xml:space="preserve"> </w:t>
                      </w:r>
                    </w:p>
                    <w:p w14:paraId="48C83C55" w14:textId="17B1E3BD" w:rsidR="00F1690F" w:rsidRPr="00F1690F" w:rsidRDefault="00F1690F">
                      <w:pPr>
                        <w:rPr>
                          <w:rFonts w:eastAsia="PMingLiU"/>
                        </w:rPr>
                      </w:pPr>
                      <w:r w:rsidRPr="00FE422B">
                        <w:t>For Option 1 + Option 3 DCI based overridden mechanism, for a HARQ process configured as HARQ feedback disabled by per-HARQ process bitmap signaling and further reversed to HARQ feedback enabled by DCI, the NBIoT UE does not wait for an RTT+3ms (</w:t>
                      </w:r>
                      <w:r w:rsidRPr="00FE422B">
                        <w:rPr>
                          <w:rFonts w:hint="eastAsia"/>
                        </w:rPr>
                        <w:t>i.</w:t>
                      </w:r>
                      <w:r w:rsidRPr="00FE422B">
                        <w:t xml:space="preserve">e., till subframe </w:t>
                      </w:r>
                      <w:r w:rsidRPr="00FE422B">
                        <w:rPr>
                          <w:i/>
                          <w:iCs/>
                        </w:rPr>
                        <w:t>n+Kmac+3</w:t>
                      </w:r>
                      <w:r w:rsidRPr="00FE422B">
                        <w:t xml:space="preserve"> in TS36.213 section 16.6) before monitoring NPDCCH for the same HARQ process (or monitoring any NPDCCH for the case of single HARQ process configuration).</w:t>
                      </w:r>
                    </w:p>
                  </w:txbxContent>
                </v:textbox>
                <w10:wrap type="square"/>
              </v:shape>
            </w:pict>
          </mc:Fallback>
        </mc:AlternateContent>
      </w:r>
      <w:r>
        <w:rPr>
          <w:rFonts w:eastAsiaTheme="minorEastAsia"/>
          <w:bCs/>
          <w:lang w:val="en-US" w:eastAsia="zh-CN"/>
        </w:rPr>
        <w:t>It is suggest</w:t>
      </w:r>
      <w:r w:rsidR="006C7165">
        <w:rPr>
          <w:rFonts w:eastAsiaTheme="minorEastAsia"/>
          <w:bCs/>
          <w:lang w:val="en-US" w:eastAsia="zh-CN"/>
        </w:rPr>
        <w:t>ed</w:t>
      </w:r>
      <w:r>
        <w:rPr>
          <w:rFonts w:eastAsiaTheme="minorEastAsia"/>
          <w:bCs/>
          <w:lang w:val="en-US" w:eastAsia="zh-CN"/>
        </w:rPr>
        <w:t xml:space="preserve"> to </w:t>
      </w:r>
      <w:r w:rsidR="000072B1">
        <w:rPr>
          <w:rFonts w:eastAsiaTheme="minorEastAsia"/>
          <w:bCs/>
          <w:lang w:val="en-US" w:eastAsia="zh-CN"/>
        </w:rPr>
        <w:t>introduce</w:t>
      </w:r>
      <w:r>
        <w:rPr>
          <w:rFonts w:eastAsiaTheme="minorEastAsia"/>
          <w:bCs/>
          <w:lang w:val="en-US" w:eastAsia="zh-CN"/>
        </w:rPr>
        <w:t xml:space="preserve"> </w:t>
      </w:r>
      <w:r w:rsidR="000072B1">
        <w:rPr>
          <w:rFonts w:eastAsiaTheme="minorEastAsia"/>
          <w:bCs/>
          <w:lang w:val="en-US" w:eastAsia="zh-CN"/>
        </w:rPr>
        <w:t>separate FG/component</w:t>
      </w:r>
      <w:r>
        <w:rPr>
          <w:rFonts w:eastAsiaTheme="minorEastAsia"/>
          <w:bCs/>
          <w:lang w:val="en-US" w:eastAsia="zh-CN"/>
        </w:rPr>
        <w:t xml:space="preserve"> for the NPDCCH monitoring constraint.</w:t>
      </w:r>
      <w:r w:rsidR="0031338E">
        <w:rPr>
          <w:rFonts w:eastAsiaTheme="minorEastAsia"/>
          <w:bCs/>
          <w:lang w:val="en-US" w:eastAsia="zh-CN"/>
        </w:rPr>
        <w:t xml:space="preserve"> Same comment applies to both NB-IoT and eMTC</w:t>
      </w:r>
      <w:r w:rsidR="00B433CE">
        <w:rPr>
          <w:rFonts w:eastAsiaTheme="minorEastAsia"/>
          <w:bCs/>
          <w:lang w:val="en-US" w:eastAsia="zh-CN"/>
        </w:rPr>
        <w:t>.</w:t>
      </w:r>
    </w:p>
    <w:p w14:paraId="12460ACD" w14:textId="4FBB8865" w:rsidR="006C7165" w:rsidRPr="00EF47F0" w:rsidRDefault="006C7165" w:rsidP="007A4B19">
      <w:pPr>
        <w:rPr>
          <w:rFonts w:eastAsiaTheme="minorEastAsia"/>
          <w:b/>
          <w:i/>
          <w:iCs/>
          <w:lang w:val="en-US" w:eastAsia="zh-CN"/>
        </w:rPr>
      </w:pPr>
      <w:r w:rsidRPr="00EF47F0">
        <w:rPr>
          <w:rFonts w:eastAsiaTheme="minorEastAsia" w:hint="eastAsia"/>
          <w:b/>
          <w:i/>
          <w:iCs/>
          <w:lang w:val="en-US" w:eastAsia="zh-CN"/>
        </w:rPr>
        <w:t>P</w:t>
      </w:r>
      <w:r w:rsidRPr="00EF47F0">
        <w:rPr>
          <w:rFonts w:eastAsiaTheme="minorEastAsia"/>
          <w:b/>
          <w:i/>
          <w:iCs/>
          <w:lang w:val="en-US" w:eastAsia="zh-CN"/>
        </w:rPr>
        <w:t xml:space="preserve">roposal </w:t>
      </w:r>
      <w:r w:rsidR="00E63890">
        <w:rPr>
          <w:rFonts w:eastAsiaTheme="minorEastAsia"/>
          <w:b/>
          <w:i/>
          <w:iCs/>
          <w:lang w:val="en-US" w:eastAsia="zh-CN"/>
        </w:rPr>
        <w:t>4</w:t>
      </w:r>
      <w:r w:rsidRPr="00EF47F0">
        <w:rPr>
          <w:rFonts w:eastAsiaTheme="minorEastAsia"/>
          <w:b/>
          <w:i/>
          <w:iCs/>
          <w:lang w:val="en-US" w:eastAsia="zh-CN"/>
        </w:rPr>
        <w:t>: Introduce separate FG</w:t>
      </w:r>
      <w:r w:rsidR="008A1E88">
        <w:rPr>
          <w:rFonts w:eastAsiaTheme="minorEastAsia" w:hint="eastAsia"/>
          <w:b/>
          <w:i/>
          <w:iCs/>
          <w:lang w:val="en-US" w:eastAsia="zh-CN"/>
        </w:rPr>
        <w:t>/</w:t>
      </w:r>
      <w:r w:rsidR="008A1E88">
        <w:rPr>
          <w:rFonts w:eastAsiaTheme="minorEastAsia"/>
          <w:b/>
          <w:i/>
          <w:iCs/>
          <w:lang w:val="en-US" w:eastAsia="zh-CN"/>
        </w:rPr>
        <w:t>component</w:t>
      </w:r>
      <w:r w:rsidRPr="00EF47F0">
        <w:rPr>
          <w:rFonts w:eastAsiaTheme="minorEastAsia"/>
          <w:b/>
          <w:i/>
          <w:iCs/>
          <w:lang w:val="en-US" w:eastAsia="zh-CN"/>
        </w:rPr>
        <w:t xml:space="preserve"> for the PDCCH monitoring constraint.</w:t>
      </w:r>
    </w:p>
    <w:p w14:paraId="440220D0" w14:textId="39F674F7" w:rsidR="00F1690F" w:rsidRPr="00F1690F" w:rsidRDefault="00F1690F" w:rsidP="007A4B19">
      <w:pPr>
        <w:rPr>
          <w:rFonts w:eastAsiaTheme="minorEastAsia"/>
          <w:bCs/>
          <w:lang w:val="en-US" w:eastAsia="zh-CN"/>
        </w:rPr>
      </w:pPr>
    </w:p>
    <w:p w14:paraId="57D02CDC" w14:textId="33611397" w:rsidR="00F1690F" w:rsidRPr="00886251" w:rsidRDefault="005900AB" w:rsidP="007A4B19">
      <w:pPr>
        <w:rPr>
          <w:rFonts w:eastAsiaTheme="minorEastAsia"/>
          <w:b/>
          <w:u w:val="single"/>
          <w:lang w:val="en-US" w:eastAsia="zh-CN"/>
        </w:rPr>
      </w:pPr>
      <w:r w:rsidRPr="00886251">
        <w:rPr>
          <w:rFonts w:eastAsiaTheme="minorEastAsia"/>
          <w:b/>
          <w:u w:val="single"/>
          <w:lang w:val="en-US" w:eastAsia="zh-CN"/>
        </w:rPr>
        <w:t>Comment 5: on the GNSS measurement</w:t>
      </w:r>
    </w:p>
    <w:p w14:paraId="2E396033" w14:textId="10396B98" w:rsidR="005900AB" w:rsidRDefault="005900AB" w:rsidP="007A4B19">
      <w:pPr>
        <w:rPr>
          <w:rFonts w:eastAsiaTheme="minorEastAsia"/>
          <w:bCs/>
          <w:lang w:val="en-US" w:eastAsia="zh-CN"/>
        </w:rPr>
      </w:pPr>
      <w:r>
        <w:rPr>
          <w:rFonts w:eastAsiaTheme="minorEastAsia"/>
          <w:bCs/>
          <w:lang w:val="en-US" w:eastAsia="zh-CN"/>
        </w:rPr>
        <w:t>It is agreed that the UE can extend its UL transmission with duration X without GNSS re-acquisition after the original GNSS validity duration expires. This can be considered as the new FG</w:t>
      </w:r>
      <w:r w:rsidR="005E342C">
        <w:rPr>
          <w:rFonts w:eastAsiaTheme="minorEastAsia"/>
          <w:bCs/>
          <w:lang w:val="en-US" w:eastAsia="zh-CN"/>
        </w:rPr>
        <w:t xml:space="preserve"> and applies to both NB-IoT and eMTC.</w:t>
      </w:r>
    </w:p>
    <w:p w14:paraId="05E16F34" w14:textId="3473CE38" w:rsidR="005E342C" w:rsidRDefault="005E342C" w:rsidP="007A4B19">
      <w:pPr>
        <w:rPr>
          <w:rFonts w:eastAsiaTheme="minorEastAsia"/>
          <w:bCs/>
          <w:lang w:val="en-US" w:eastAsia="zh-CN"/>
        </w:rPr>
      </w:pPr>
    </w:p>
    <w:p w14:paraId="59BB1A40" w14:textId="63AEDA15" w:rsidR="005E342C" w:rsidRPr="00886251" w:rsidRDefault="005E342C" w:rsidP="007A4B19">
      <w:pPr>
        <w:rPr>
          <w:rFonts w:eastAsiaTheme="minorEastAsia"/>
          <w:b/>
          <w:i/>
          <w:iCs/>
          <w:lang w:val="en-US" w:eastAsia="zh-CN"/>
        </w:rPr>
      </w:pPr>
      <w:r w:rsidRPr="00886251">
        <w:rPr>
          <w:rFonts w:eastAsiaTheme="minorEastAsia" w:hint="eastAsia"/>
          <w:b/>
          <w:i/>
          <w:iCs/>
          <w:lang w:val="en-US" w:eastAsia="zh-CN"/>
        </w:rPr>
        <w:t>P</w:t>
      </w:r>
      <w:r w:rsidRPr="00886251">
        <w:rPr>
          <w:rFonts w:eastAsiaTheme="minorEastAsia"/>
          <w:b/>
          <w:i/>
          <w:iCs/>
          <w:lang w:val="en-US" w:eastAsia="zh-CN"/>
        </w:rPr>
        <w:t>roposal 5: Adding new FGs to support the extended UL transmission with duration X without GNSS re-acquisition after the original GNSS validity duration expires for both NB-IoT and eMTC.</w:t>
      </w:r>
    </w:p>
    <w:p w14:paraId="437760A0" w14:textId="77777777" w:rsidR="00E35D7B" w:rsidRPr="006019DE" w:rsidRDefault="00E35D7B" w:rsidP="00836FA4">
      <w:pPr>
        <w:rPr>
          <w:rFonts w:eastAsiaTheme="minorEastAsia"/>
          <w:b/>
          <w:u w:val="single"/>
          <w:lang w:val="en-US" w:eastAsia="zh-CN"/>
        </w:rPr>
      </w:pP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242C1EB1" w14:textId="4E7A8FC0" w:rsidR="00AD2CEA" w:rsidRPr="00D80FD0" w:rsidRDefault="00DF573B" w:rsidP="00B14B6C">
      <w:pPr>
        <w:pStyle w:val="3GPPNormalText"/>
        <w:rPr>
          <w:rFonts w:eastAsia="PMingLiU"/>
          <w:b/>
          <w:i/>
        </w:rPr>
      </w:pPr>
      <w:r w:rsidRPr="002A482D">
        <w:rPr>
          <w:szCs w:val="20"/>
          <w:lang w:val="en-GB" w:eastAsia="zh-CN"/>
        </w:rPr>
        <w:t xml:space="preserve">In this contribution, </w:t>
      </w:r>
      <w:r w:rsidR="00B14B6C">
        <w:rPr>
          <w:szCs w:val="20"/>
          <w:lang w:val="en-GB" w:eastAsia="zh-CN"/>
        </w:rPr>
        <w:t xml:space="preserve">we present the discussion on the UE feature list for the IoT NTN. It is proposed to </w:t>
      </w:r>
      <w:r w:rsidR="00F6414D">
        <w:rPr>
          <w:szCs w:val="20"/>
          <w:lang w:val="en-GB" w:eastAsia="zh-CN"/>
        </w:rPr>
        <w:t>capture the following proposals to update the UE feature list.</w:t>
      </w:r>
    </w:p>
    <w:p w14:paraId="7408013D" w14:textId="464C92F8" w:rsidR="00F6414D" w:rsidRDefault="00F6414D" w:rsidP="00F6414D">
      <w:pPr>
        <w:rPr>
          <w:rFonts w:eastAsiaTheme="minorEastAsia"/>
          <w:b/>
          <w:i/>
          <w:iCs/>
          <w:lang w:val="en-US" w:eastAsia="zh-CN"/>
        </w:rPr>
      </w:pPr>
      <w:r w:rsidRPr="006C7165">
        <w:rPr>
          <w:rFonts w:eastAsiaTheme="minorEastAsia" w:hint="eastAsia"/>
          <w:b/>
          <w:i/>
          <w:iCs/>
          <w:lang w:val="en-US" w:eastAsia="zh-CN"/>
        </w:rPr>
        <w:t>P</w:t>
      </w:r>
      <w:r w:rsidRPr="006C7165">
        <w:rPr>
          <w:rFonts w:eastAsiaTheme="minorEastAsia"/>
          <w:b/>
          <w:i/>
          <w:iCs/>
          <w:lang w:val="en-US" w:eastAsia="zh-CN"/>
        </w:rPr>
        <w:t>roposal 1: The granularity of all the FGs defined for IoT NTN is per band.</w:t>
      </w:r>
    </w:p>
    <w:p w14:paraId="02AF205F" w14:textId="368AB1A2" w:rsidR="00886251" w:rsidRPr="00886251" w:rsidRDefault="00886251" w:rsidP="00F6414D">
      <w:pPr>
        <w:rPr>
          <w:rFonts w:eastAsiaTheme="minorEastAsia"/>
          <w:b/>
          <w:i/>
          <w:iCs/>
          <w:lang w:val="en-US" w:eastAsia="zh-CN"/>
        </w:rPr>
      </w:pPr>
      <w:r w:rsidRPr="00B73903">
        <w:rPr>
          <w:rFonts w:eastAsiaTheme="minorEastAsia" w:hint="eastAsia"/>
          <w:b/>
          <w:i/>
          <w:iCs/>
          <w:lang w:val="en-US" w:eastAsia="zh-CN"/>
        </w:rPr>
        <w:t>P</w:t>
      </w:r>
      <w:r w:rsidRPr="00B73903">
        <w:rPr>
          <w:rFonts w:eastAsiaTheme="minorEastAsia"/>
          <w:b/>
          <w:i/>
          <w:iCs/>
          <w:lang w:val="en-US" w:eastAsia="zh-CN"/>
        </w:rPr>
        <w:t>roposal 2: No need to design signaling such that GSO/NGSO differentiation is possible.</w:t>
      </w:r>
    </w:p>
    <w:p w14:paraId="784DE940" w14:textId="3F3B44E4" w:rsidR="0065525E" w:rsidRDefault="0065525E" w:rsidP="0065525E">
      <w:pPr>
        <w:rPr>
          <w:rFonts w:eastAsiaTheme="minorEastAsia"/>
          <w:b/>
          <w:i/>
          <w:iCs/>
          <w:lang w:val="en-US" w:eastAsia="zh-CN"/>
        </w:rPr>
      </w:pPr>
      <w:r w:rsidRPr="006C7165">
        <w:rPr>
          <w:rFonts w:eastAsiaTheme="minorEastAsia" w:hint="eastAsia"/>
          <w:b/>
          <w:i/>
          <w:iCs/>
          <w:lang w:val="en-US" w:eastAsia="zh-CN"/>
        </w:rPr>
        <w:t>P</w:t>
      </w:r>
      <w:r w:rsidRPr="006C7165">
        <w:rPr>
          <w:rFonts w:eastAsiaTheme="minorEastAsia"/>
          <w:b/>
          <w:i/>
          <w:iCs/>
          <w:lang w:val="en-US" w:eastAsia="zh-CN"/>
        </w:rPr>
        <w:t xml:space="preserve">roposal </w:t>
      </w:r>
      <w:r w:rsidR="00886251">
        <w:rPr>
          <w:rFonts w:eastAsiaTheme="minorEastAsia"/>
          <w:b/>
          <w:i/>
          <w:iCs/>
          <w:lang w:val="en-US" w:eastAsia="zh-CN"/>
        </w:rPr>
        <w:t>3</w:t>
      </w:r>
      <w:r w:rsidRPr="006C7165">
        <w:rPr>
          <w:rFonts w:eastAsiaTheme="minorEastAsia"/>
          <w:b/>
          <w:i/>
          <w:iCs/>
          <w:lang w:val="en-US" w:eastAsia="zh-CN"/>
        </w:rPr>
        <w:t>: Define separate FGs for different HARQ disabling schemes.</w:t>
      </w:r>
    </w:p>
    <w:p w14:paraId="6345565D" w14:textId="77DEBA82" w:rsidR="0065525E" w:rsidRDefault="0065525E" w:rsidP="0065525E">
      <w:pPr>
        <w:rPr>
          <w:rFonts w:eastAsiaTheme="minorEastAsia"/>
          <w:b/>
          <w:i/>
          <w:iCs/>
          <w:lang w:val="en-US" w:eastAsia="zh-CN"/>
        </w:rPr>
      </w:pPr>
      <w:r w:rsidRPr="00EF47F0">
        <w:rPr>
          <w:rFonts w:eastAsiaTheme="minorEastAsia" w:hint="eastAsia"/>
          <w:b/>
          <w:i/>
          <w:iCs/>
          <w:lang w:val="en-US" w:eastAsia="zh-CN"/>
        </w:rPr>
        <w:t>P</w:t>
      </w:r>
      <w:r w:rsidRPr="00EF47F0">
        <w:rPr>
          <w:rFonts w:eastAsiaTheme="minorEastAsia"/>
          <w:b/>
          <w:i/>
          <w:iCs/>
          <w:lang w:val="en-US" w:eastAsia="zh-CN"/>
        </w:rPr>
        <w:t xml:space="preserve">roposal </w:t>
      </w:r>
      <w:r w:rsidR="00886251">
        <w:rPr>
          <w:rFonts w:eastAsiaTheme="minorEastAsia"/>
          <w:b/>
          <w:i/>
          <w:iCs/>
          <w:lang w:val="en-US" w:eastAsia="zh-CN"/>
        </w:rPr>
        <w:t>4</w:t>
      </w:r>
      <w:r w:rsidRPr="00EF47F0">
        <w:rPr>
          <w:rFonts w:eastAsiaTheme="minorEastAsia"/>
          <w:b/>
          <w:i/>
          <w:iCs/>
          <w:lang w:val="en-US" w:eastAsia="zh-CN"/>
        </w:rPr>
        <w:t>: Introduce separate FG</w:t>
      </w:r>
      <w:r w:rsidR="001C320E">
        <w:rPr>
          <w:rFonts w:eastAsiaTheme="minorEastAsia"/>
          <w:b/>
          <w:i/>
          <w:iCs/>
          <w:lang w:val="en-US" w:eastAsia="zh-CN"/>
        </w:rPr>
        <w:t>/component</w:t>
      </w:r>
      <w:r w:rsidRPr="00EF47F0">
        <w:rPr>
          <w:rFonts w:eastAsiaTheme="minorEastAsia"/>
          <w:b/>
          <w:i/>
          <w:iCs/>
          <w:lang w:val="en-US" w:eastAsia="zh-CN"/>
        </w:rPr>
        <w:t xml:space="preserve"> for the PDCCH monitoring constraint.</w:t>
      </w:r>
    </w:p>
    <w:p w14:paraId="180B2CFE" w14:textId="77777777" w:rsidR="00886251" w:rsidRPr="00886251" w:rsidRDefault="00886251" w:rsidP="00886251">
      <w:pPr>
        <w:rPr>
          <w:rFonts w:eastAsiaTheme="minorEastAsia"/>
          <w:b/>
          <w:i/>
          <w:iCs/>
          <w:lang w:val="en-US" w:eastAsia="zh-CN"/>
        </w:rPr>
      </w:pPr>
      <w:r w:rsidRPr="00886251">
        <w:rPr>
          <w:rFonts w:eastAsiaTheme="minorEastAsia" w:hint="eastAsia"/>
          <w:b/>
          <w:i/>
          <w:iCs/>
          <w:lang w:val="en-US" w:eastAsia="zh-CN"/>
        </w:rPr>
        <w:t>P</w:t>
      </w:r>
      <w:r w:rsidRPr="00886251">
        <w:rPr>
          <w:rFonts w:eastAsiaTheme="minorEastAsia"/>
          <w:b/>
          <w:i/>
          <w:iCs/>
          <w:lang w:val="en-US" w:eastAsia="zh-CN"/>
        </w:rPr>
        <w:t>roposal 5: Adding new FGs to support the extended UL transmission with duration X without GNSS re-acquisition after the original GNSS validity duration expires for both NB-IoT and eMTC.</w:t>
      </w:r>
    </w:p>
    <w:p w14:paraId="36A5F740" w14:textId="77777777" w:rsidR="00886251" w:rsidRPr="00886251" w:rsidRDefault="00886251" w:rsidP="0065525E">
      <w:pPr>
        <w:rPr>
          <w:rFonts w:eastAsiaTheme="minorEastAsia"/>
          <w:b/>
          <w:i/>
          <w:iCs/>
          <w:lang w:val="en-US" w:eastAsia="zh-CN"/>
        </w:rPr>
      </w:pPr>
    </w:p>
    <w:p w14:paraId="545530FE" w14:textId="77777777" w:rsidR="0065525E" w:rsidRPr="0065525E" w:rsidRDefault="0065525E" w:rsidP="0065525E">
      <w:pPr>
        <w:rPr>
          <w:rFonts w:eastAsiaTheme="minorEastAsia"/>
          <w:b/>
          <w:i/>
          <w:iCs/>
          <w:lang w:val="en-US" w:eastAsia="zh-CN"/>
        </w:rPr>
      </w:pPr>
    </w:p>
    <w:p w14:paraId="5EE76390" w14:textId="77777777" w:rsidR="00494984" w:rsidRPr="0065525E"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1" w:name="_Ref506568004"/>
    </w:p>
    <w:bookmarkEnd w:id="1"/>
    <w:p w14:paraId="65952856" w14:textId="7C4560D2" w:rsidR="00D21955" w:rsidRPr="009A4E82" w:rsidRDefault="009A4E82" w:rsidP="00C02BB1">
      <w:pPr>
        <w:pStyle w:val="af5"/>
        <w:numPr>
          <w:ilvl w:val="0"/>
          <w:numId w:val="10"/>
        </w:numPr>
        <w:rPr>
          <w:rFonts w:ascii="Times New Roman" w:eastAsia="宋体" w:hAnsi="Times New Roman"/>
        </w:rPr>
      </w:pPr>
      <w:r w:rsidRPr="009A4E82">
        <w:rPr>
          <w:rFonts w:ascii="Times New Roman" w:eastAsia="宋体" w:hAnsi="Times New Roman"/>
        </w:rPr>
        <w:t>R1-2308518</w:t>
      </w:r>
      <w:r w:rsidRPr="009A4E82">
        <w:rPr>
          <w:rFonts w:ascii="Times New Roman" w:eastAsia="宋体" w:hAnsi="Times New Roman"/>
        </w:rPr>
        <w:tab/>
        <w:t>Updated RAN1 UE features list for Rel-18 LTE after RAN1#114</w:t>
      </w:r>
      <w:r w:rsidRPr="009A4E82">
        <w:rPr>
          <w:rFonts w:ascii="Times New Roman" w:eastAsia="宋体" w:hAnsi="Times New Roman"/>
        </w:rPr>
        <w:tab/>
        <w:t>Moderators (AT&amp;T, NTT DOCOMO, INC.), 3GPP TSG RAN WG1 #114</w:t>
      </w:r>
      <w:r>
        <w:rPr>
          <w:rFonts w:ascii="Times New Roman" w:eastAsia="宋体" w:hAnsi="Times New Roman"/>
        </w:rPr>
        <w:t xml:space="preserve">, </w:t>
      </w:r>
      <w:r w:rsidRPr="009A4E82">
        <w:rPr>
          <w:rFonts w:ascii="Times New Roman" w:eastAsia="宋体" w:hAnsi="Times New Roman"/>
        </w:rPr>
        <w:t>Toulouse, France, August 21st – August 25th, 2023</w:t>
      </w:r>
    </w:p>
    <w:p w14:paraId="1A293AF3" w14:textId="3B83D736" w:rsidR="00CB0004" w:rsidRPr="009A4E82" w:rsidRDefault="00CB0004" w:rsidP="00696015">
      <w:pPr>
        <w:pStyle w:val="af5"/>
        <w:ind w:left="420"/>
        <w:rPr>
          <w:rFonts w:ascii="Times New Roman" w:eastAsia="宋体" w:hAnsi="Times New Roman"/>
        </w:rPr>
      </w:pPr>
    </w:p>
    <w:sectPr w:rsidR="00CB0004" w:rsidRPr="009A4E82"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E0E63" w14:textId="77777777" w:rsidR="00BA7970" w:rsidRDefault="00BA7970" w:rsidP="00451561">
      <w:r>
        <w:separator/>
      </w:r>
    </w:p>
    <w:p w14:paraId="387AADD4" w14:textId="77777777" w:rsidR="00BA7970" w:rsidRDefault="00BA7970" w:rsidP="00451561"/>
  </w:endnote>
  <w:endnote w:type="continuationSeparator" w:id="0">
    <w:p w14:paraId="14F0949B" w14:textId="77777777" w:rsidR="00BA7970" w:rsidRDefault="00BA7970" w:rsidP="00451561">
      <w:r>
        <w:continuationSeparator/>
      </w:r>
    </w:p>
    <w:p w14:paraId="6C81C7BC" w14:textId="77777777" w:rsidR="00BA7970" w:rsidRDefault="00BA7970"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09181C" w:rsidRDefault="0009181C"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09181C" w:rsidRDefault="0009181C" w:rsidP="00451561">
    <w:pPr>
      <w:pStyle w:val="table"/>
    </w:pPr>
  </w:p>
  <w:p w14:paraId="1A55E6A4" w14:textId="77777777" w:rsidR="0009181C" w:rsidRDefault="0009181C"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25BA5A09" w:rsidR="0009181C" w:rsidRPr="00270202" w:rsidRDefault="0009181C"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F5580">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F5580">
      <w:rPr>
        <w:rStyle w:val="CharChar2"/>
        <w:b/>
        <w:i/>
        <w:noProof/>
        <w:sz w:val="18"/>
      </w:rPr>
      <w:t>3</w:t>
    </w:r>
    <w:r w:rsidRPr="00270202">
      <w:rPr>
        <w:rStyle w:val="CharChar2"/>
        <w:b/>
        <w:i/>
        <w:sz w:val="18"/>
      </w:rPr>
      <w:fldChar w:fldCharType="end"/>
    </w:r>
  </w:p>
  <w:p w14:paraId="2C7FA615" w14:textId="77777777" w:rsidR="0009181C" w:rsidRDefault="0009181C"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B459B" w14:textId="77777777" w:rsidR="00BA7970" w:rsidRDefault="00BA7970" w:rsidP="00451561">
      <w:r>
        <w:separator/>
      </w:r>
    </w:p>
    <w:p w14:paraId="0919F8F2" w14:textId="77777777" w:rsidR="00BA7970" w:rsidRDefault="00BA7970" w:rsidP="00451561"/>
  </w:footnote>
  <w:footnote w:type="continuationSeparator" w:id="0">
    <w:p w14:paraId="17DABA39" w14:textId="77777777" w:rsidR="00BA7970" w:rsidRDefault="00BA7970" w:rsidP="00451561">
      <w:r>
        <w:continuationSeparator/>
      </w:r>
    </w:p>
    <w:p w14:paraId="3D26CDB6" w14:textId="77777777" w:rsidR="00BA7970" w:rsidRDefault="00BA7970"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09181C" w:rsidRDefault="0009181C" w:rsidP="00451561">
    <w:r>
      <w:t xml:space="preserve">Page </w:t>
    </w:r>
    <w:r>
      <w:fldChar w:fldCharType="begin"/>
    </w:r>
    <w:r>
      <w:instrText>PAGE</w:instrText>
    </w:r>
    <w:r>
      <w:fldChar w:fldCharType="separate"/>
    </w:r>
    <w:r>
      <w:rPr>
        <w:noProof/>
      </w:rPr>
      <w:t>1</w:t>
    </w:r>
    <w:r>
      <w:fldChar w:fldCharType="end"/>
    </w:r>
  </w:p>
  <w:p w14:paraId="29AF7EB8" w14:textId="77777777" w:rsidR="0009181C" w:rsidRDefault="0009181C"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1A7860"/>
    <w:multiLevelType w:val="hybridMultilevel"/>
    <w:tmpl w:val="77DCBD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B92366"/>
    <w:multiLevelType w:val="hybridMultilevel"/>
    <w:tmpl w:val="63E60E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140956F3"/>
    <w:multiLevelType w:val="hybridMultilevel"/>
    <w:tmpl w:val="F148DE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235510"/>
    <w:multiLevelType w:val="multilevel"/>
    <w:tmpl w:val="1A235510"/>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63A2F90"/>
    <w:multiLevelType w:val="multilevel"/>
    <w:tmpl w:val="263A2F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DE5F08"/>
    <w:multiLevelType w:val="multilevel"/>
    <w:tmpl w:val="2806E30E"/>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3"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D564FB"/>
    <w:multiLevelType w:val="multilevel"/>
    <w:tmpl w:val="53D564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6"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F087A44"/>
    <w:multiLevelType w:val="hybridMultilevel"/>
    <w:tmpl w:val="CF160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B03313C"/>
    <w:multiLevelType w:val="multilevel"/>
    <w:tmpl w:val="C21065B0"/>
    <w:numStyleLink w:val="3GPPListofBullets"/>
  </w:abstractNum>
  <w:abstractNum w:abstractNumId="40" w15:restartNumberingAfterBreak="0">
    <w:nsid w:val="735723B7"/>
    <w:multiLevelType w:val="multilevel"/>
    <w:tmpl w:val="735723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21"/>
  </w:num>
  <w:num w:numId="3">
    <w:abstractNumId w:val="22"/>
  </w:num>
  <w:num w:numId="4">
    <w:abstractNumId w:val="39"/>
  </w:num>
  <w:num w:numId="5">
    <w:abstractNumId w:val="20"/>
  </w:num>
  <w:num w:numId="6">
    <w:abstractNumId w:val="1"/>
  </w:num>
  <w:num w:numId="7">
    <w:abstractNumId w:val="17"/>
  </w:num>
  <w:num w:numId="8">
    <w:abstractNumId w:val="26"/>
  </w:num>
  <w:num w:numId="9">
    <w:abstractNumId w:val="31"/>
  </w:num>
  <w:num w:numId="10">
    <w:abstractNumId w:val="16"/>
  </w:num>
  <w:num w:numId="11">
    <w:abstractNumId w:val="23"/>
  </w:num>
  <w:num w:numId="12">
    <w:abstractNumId w:val="32"/>
  </w:num>
  <w:num w:numId="13">
    <w:abstractNumId w:val="25"/>
  </w:num>
  <w:num w:numId="14">
    <w:abstractNumId w:val="36"/>
  </w:num>
  <w:num w:numId="15">
    <w:abstractNumId w:val="2"/>
  </w:num>
  <w:num w:numId="16">
    <w:abstractNumId w:val="29"/>
  </w:num>
  <w:num w:numId="17">
    <w:abstractNumId w:val="42"/>
  </w:num>
  <w:num w:numId="18">
    <w:abstractNumId w:val="7"/>
  </w:num>
  <w:num w:numId="19">
    <w:abstractNumId w:val="11"/>
  </w:num>
  <w:num w:numId="20">
    <w:abstractNumId w:val="13"/>
  </w:num>
  <w:num w:numId="21">
    <w:abstractNumId w:val="14"/>
  </w:num>
  <w:num w:numId="22">
    <w:abstractNumId w:val="12"/>
  </w:num>
  <w:num w:numId="23">
    <w:abstractNumId w:val="28"/>
  </w:num>
  <w:num w:numId="24">
    <w:abstractNumId w:val="27"/>
  </w:num>
  <w:num w:numId="25">
    <w:abstractNumId w:val="34"/>
  </w:num>
  <w:num w:numId="26">
    <w:abstractNumId w:val="24"/>
  </w:num>
  <w:num w:numId="27">
    <w:abstractNumId w:val="5"/>
  </w:num>
  <w:num w:numId="28">
    <w:abstractNumId w:val="6"/>
  </w:num>
  <w:num w:numId="29">
    <w:abstractNumId w:val="17"/>
  </w:num>
  <w:num w:numId="30">
    <w:abstractNumId w:val="4"/>
  </w:num>
  <w:num w:numId="31">
    <w:abstractNumId w:val="19"/>
  </w:num>
  <w:num w:numId="32">
    <w:abstractNumId w:val="37"/>
  </w:num>
  <w:num w:numId="33">
    <w:abstractNumId w:val="3"/>
  </w:num>
  <w:num w:numId="34">
    <w:abstractNumId w:val="41"/>
  </w:num>
  <w:num w:numId="35">
    <w:abstractNumId w:val="35"/>
  </w:num>
  <w:num w:numId="36">
    <w:abstractNumId w:val="30"/>
  </w:num>
  <w:num w:numId="37">
    <w:abstractNumId w:val="8"/>
  </w:num>
  <w:num w:numId="38">
    <w:abstractNumId w:val="38"/>
  </w:num>
  <w:num w:numId="39">
    <w:abstractNumId w:val="10"/>
  </w:num>
  <w:num w:numId="40">
    <w:abstractNumId w:val="40"/>
  </w:num>
  <w:num w:numId="41">
    <w:abstractNumId w:val="15"/>
  </w:num>
  <w:num w:numId="42">
    <w:abstractNumId w:val="33"/>
  </w:num>
  <w:num w:numId="43">
    <w:abstractNumId w:val="9"/>
  </w:num>
  <w:num w:numId="44">
    <w:abstractNumId w:val="4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A45"/>
    <w:rsid w:val="00001CE5"/>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1"/>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4FAD"/>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1FDB"/>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0B5"/>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519"/>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1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AB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81C"/>
    <w:rsid w:val="00091A28"/>
    <w:rsid w:val="00091CC9"/>
    <w:rsid w:val="000921E3"/>
    <w:rsid w:val="00092301"/>
    <w:rsid w:val="00092334"/>
    <w:rsid w:val="0009253D"/>
    <w:rsid w:val="00092BA7"/>
    <w:rsid w:val="00092FFB"/>
    <w:rsid w:val="00093097"/>
    <w:rsid w:val="000931C3"/>
    <w:rsid w:val="0009361B"/>
    <w:rsid w:val="0009366D"/>
    <w:rsid w:val="000937F4"/>
    <w:rsid w:val="00093DD5"/>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D2"/>
    <w:rsid w:val="00097AE8"/>
    <w:rsid w:val="00097CD8"/>
    <w:rsid w:val="00097FD8"/>
    <w:rsid w:val="000A02DC"/>
    <w:rsid w:val="000A0AD4"/>
    <w:rsid w:val="000A0CA1"/>
    <w:rsid w:val="000A0E99"/>
    <w:rsid w:val="000A0EC2"/>
    <w:rsid w:val="000A156C"/>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B35"/>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3EE"/>
    <w:rsid w:val="000D148D"/>
    <w:rsid w:val="000D14EB"/>
    <w:rsid w:val="000D1610"/>
    <w:rsid w:val="000D1737"/>
    <w:rsid w:val="000D174E"/>
    <w:rsid w:val="000D1A02"/>
    <w:rsid w:val="000D206C"/>
    <w:rsid w:val="000D23C1"/>
    <w:rsid w:val="000D2416"/>
    <w:rsid w:val="000D2AD5"/>
    <w:rsid w:val="000D2AE0"/>
    <w:rsid w:val="000D2CE3"/>
    <w:rsid w:val="000D2EA5"/>
    <w:rsid w:val="000D2F06"/>
    <w:rsid w:val="000D35D4"/>
    <w:rsid w:val="000D362A"/>
    <w:rsid w:val="000D37FA"/>
    <w:rsid w:val="000D3A6C"/>
    <w:rsid w:val="000D3AD1"/>
    <w:rsid w:val="000D3DEE"/>
    <w:rsid w:val="000D4324"/>
    <w:rsid w:val="000D446D"/>
    <w:rsid w:val="000D44D7"/>
    <w:rsid w:val="000D452D"/>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0F7C81"/>
    <w:rsid w:val="00100097"/>
    <w:rsid w:val="001000E9"/>
    <w:rsid w:val="00100169"/>
    <w:rsid w:val="0010067A"/>
    <w:rsid w:val="00101240"/>
    <w:rsid w:val="00101489"/>
    <w:rsid w:val="00101513"/>
    <w:rsid w:val="00101A0E"/>
    <w:rsid w:val="00101ACB"/>
    <w:rsid w:val="00101ACE"/>
    <w:rsid w:val="00101FA1"/>
    <w:rsid w:val="00102147"/>
    <w:rsid w:val="00102202"/>
    <w:rsid w:val="00102896"/>
    <w:rsid w:val="00102D2E"/>
    <w:rsid w:val="001031D6"/>
    <w:rsid w:val="00103658"/>
    <w:rsid w:val="0010366C"/>
    <w:rsid w:val="00103B3D"/>
    <w:rsid w:val="00103D39"/>
    <w:rsid w:val="00104058"/>
    <w:rsid w:val="0010405D"/>
    <w:rsid w:val="00104228"/>
    <w:rsid w:val="001046E3"/>
    <w:rsid w:val="0010496A"/>
    <w:rsid w:val="00104A80"/>
    <w:rsid w:val="00104CDB"/>
    <w:rsid w:val="00104D74"/>
    <w:rsid w:val="001050B7"/>
    <w:rsid w:val="0010521E"/>
    <w:rsid w:val="001052CF"/>
    <w:rsid w:val="0010555C"/>
    <w:rsid w:val="0010568A"/>
    <w:rsid w:val="00105748"/>
    <w:rsid w:val="00105820"/>
    <w:rsid w:val="0010593E"/>
    <w:rsid w:val="00105A1B"/>
    <w:rsid w:val="00105B87"/>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E11"/>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07F9"/>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4D3"/>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4FF9"/>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89"/>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19"/>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6C"/>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8A"/>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6F3"/>
    <w:rsid w:val="001C0883"/>
    <w:rsid w:val="001C144B"/>
    <w:rsid w:val="001C1684"/>
    <w:rsid w:val="001C16A9"/>
    <w:rsid w:val="001C191F"/>
    <w:rsid w:val="001C1B6A"/>
    <w:rsid w:val="001C1E53"/>
    <w:rsid w:val="001C1ECB"/>
    <w:rsid w:val="001C1FFA"/>
    <w:rsid w:val="001C211D"/>
    <w:rsid w:val="001C2DF6"/>
    <w:rsid w:val="001C2E60"/>
    <w:rsid w:val="001C320E"/>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1AE"/>
    <w:rsid w:val="001D329E"/>
    <w:rsid w:val="001D376E"/>
    <w:rsid w:val="001D385F"/>
    <w:rsid w:val="001D3A30"/>
    <w:rsid w:val="001D3C68"/>
    <w:rsid w:val="001D3CFF"/>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19A"/>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04"/>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99E"/>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0FF0"/>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5B6"/>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871"/>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786"/>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4CCF"/>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4AB"/>
    <w:rsid w:val="00261781"/>
    <w:rsid w:val="00261D05"/>
    <w:rsid w:val="0026221D"/>
    <w:rsid w:val="002623AC"/>
    <w:rsid w:val="002625EC"/>
    <w:rsid w:val="00262979"/>
    <w:rsid w:val="0026298E"/>
    <w:rsid w:val="00262CEB"/>
    <w:rsid w:val="00262D97"/>
    <w:rsid w:val="00262E4D"/>
    <w:rsid w:val="00262E69"/>
    <w:rsid w:val="00262E7F"/>
    <w:rsid w:val="00263038"/>
    <w:rsid w:val="00263041"/>
    <w:rsid w:val="0026379D"/>
    <w:rsid w:val="00263ABC"/>
    <w:rsid w:val="00263B02"/>
    <w:rsid w:val="00263B3F"/>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87F"/>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7D3"/>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6CD"/>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8F8"/>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304"/>
    <w:rsid w:val="002B46A6"/>
    <w:rsid w:val="002B4A64"/>
    <w:rsid w:val="002B4C39"/>
    <w:rsid w:val="002B5976"/>
    <w:rsid w:val="002B5A76"/>
    <w:rsid w:val="002B5CE3"/>
    <w:rsid w:val="002B5E44"/>
    <w:rsid w:val="002B6267"/>
    <w:rsid w:val="002B6397"/>
    <w:rsid w:val="002B64FE"/>
    <w:rsid w:val="002B651D"/>
    <w:rsid w:val="002B66D8"/>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3F1A"/>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C34"/>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D7C81"/>
    <w:rsid w:val="002E018E"/>
    <w:rsid w:val="002E024A"/>
    <w:rsid w:val="002E04F0"/>
    <w:rsid w:val="002E079B"/>
    <w:rsid w:val="002E0BCB"/>
    <w:rsid w:val="002E0C70"/>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6F82"/>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D6"/>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2DAB"/>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38E"/>
    <w:rsid w:val="003137A0"/>
    <w:rsid w:val="003137ED"/>
    <w:rsid w:val="00313AFB"/>
    <w:rsid w:val="00313C4F"/>
    <w:rsid w:val="00313DFD"/>
    <w:rsid w:val="00313EE1"/>
    <w:rsid w:val="003141C2"/>
    <w:rsid w:val="00314629"/>
    <w:rsid w:val="00314B31"/>
    <w:rsid w:val="00314F34"/>
    <w:rsid w:val="00315670"/>
    <w:rsid w:val="0031599D"/>
    <w:rsid w:val="00315B82"/>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AD5"/>
    <w:rsid w:val="00323BF9"/>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A9"/>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0BD"/>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5C0"/>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8E1"/>
    <w:rsid w:val="00364A63"/>
    <w:rsid w:val="00365351"/>
    <w:rsid w:val="0036561B"/>
    <w:rsid w:val="00365A9C"/>
    <w:rsid w:val="0036616D"/>
    <w:rsid w:val="0036671B"/>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43"/>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022"/>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C41"/>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84E"/>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DEA"/>
    <w:rsid w:val="00412F8D"/>
    <w:rsid w:val="00413369"/>
    <w:rsid w:val="004139D8"/>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9A9"/>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BB"/>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1E8"/>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2C2D"/>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87F"/>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44"/>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0F6"/>
    <w:rsid w:val="004B06E6"/>
    <w:rsid w:val="004B0706"/>
    <w:rsid w:val="004B0787"/>
    <w:rsid w:val="004B0AC6"/>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0F4"/>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C49"/>
    <w:rsid w:val="004C6D25"/>
    <w:rsid w:val="004C6ECC"/>
    <w:rsid w:val="004C730E"/>
    <w:rsid w:val="004C75DA"/>
    <w:rsid w:val="004C7739"/>
    <w:rsid w:val="004C7BDF"/>
    <w:rsid w:val="004C7F17"/>
    <w:rsid w:val="004D0200"/>
    <w:rsid w:val="004D02A3"/>
    <w:rsid w:val="004D02B7"/>
    <w:rsid w:val="004D09BA"/>
    <w:rsid w:val="004D0A0E"/>
    <w:rsid w:val="004D0B38"/>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60E"/>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0CF"/>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BAE"/>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5F23"/>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4C5"/>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17E9F"/>
    <w:rsid w:val="0052001B"/>
    <w:rsid w:val="005203A1"/>
    <w:rsid w:val="005205C8"/>
    <w:rsid w:val="005206F7"/>
    <w:rsid w:val="0052140B"/>
    <w:rsid w:val="00521490"/>
    <w:rsid w:val="00521D65"/>
    <w:rsid w:val="00521DB1"/>
    <w:rsid w:val="0052217F"/>
    <w:rsid w:val="005221A4"/>
    <w:rsid w:val="005225D6"/>
    <w:rsid w:val="00522D06"/>
    <w:rsid w:val="00523043"/>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01"/>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33C"/>
    <w:rsid w:val="005353CA"/>
    <w:rsid w:val="0053574F"/>
    <w:rsid w:val="0053583D"/>
    <w:rsid w:val="00535A27"/>
    <w:rsid w:val="00535B35"/>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CF1"/>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BA1"/>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3A0F"/>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77A"/>
    <w:rsid w:val="00563855"/>
    <w:rsid w:val="00563E25"/>
    <w:rsid w:val="00563FD2"/>
    <w:rsid w:val="0056434D"/>
    <w:rsid w:val="00564382"/>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0AB"/>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A9"/>
    <w:rsid w:val="005A04DD"/>
    <w:rsid w:val="005A05C6"/>
    <w:rsid w:val="005A05DF"/>
    <w:rsid w:val="005A05F1"/>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5DD"/>
    <w:rsid w:val="005A578E"/>
    <w:rsid w:val="005A588D"/>
    <w:rsid w:val="005A59CF"/>
    <w:rsid w:val="005A5C40"/>
    <w:rsid w:val="005A5DF7"/>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E9"/>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42C"/>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4E5"/>
    <w:rsid w:val="005E66F1"/>
    <w:rsid w:val="005E6741"/>
    <w:rsid w:val="005E6888"/>
    <w:rsid w:val="005E6AFB"/>
    <w:rsid w:val="005E6D99"/>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9DE"/>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72"/>
    <w:rsid w:val="006109EB"/>
    <w:rsid w:val="00610F56"/>
    <w:rsid w:val="006113A9"/>
    <w:rsid w:val="00611E25"/>
    <w:rsid w:val="006122FF"/>
    <w:rsid w:val="006127FA"/>
    <w:rsid w:val="006128FF"/>
    <w:rsid w:val="00612C24"/>
    <w:rsid w:val="00612C36"/>
    <w:rsid w:val="00612C73"/>
    <w:rsid w:val="00612D3C"/>
    <w:rsid w:val="00612FB6"/>
    <w:rsid w:val="00613036"/>
    <w:rsid w:val="00613190"/>
    <w:rsid w:val="006131B7"/>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145"/>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DD7"/>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ACE"/>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EA1"/>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556"/>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5E"/>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0FC8"/>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B51"/>
    <w:rsid w:val="00671C8F"/>
    <w:rsid w:val="0067224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526"/>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015"/>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072"/>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33"/>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165"/>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4C4E"/>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09D"/>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4F"/>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488"/>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6CA4"/>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41"/>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5CB"/>
    <w:rsid w:val="00786620"/>
    <w:rsid w:val="00786802"/>
    <w:rsid w:val="007868B7"/>
    <w:rsid w:val="00786A4B"/>
    <w:rsid w:val="00786BC0"/>
    <w:rsid w:val="0078733E"/>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2F62"/>
    <w:rsid w:val="00793213"/>
    <w:rsid w:val="007939C7"/>
    <w:rsid w:val="00793BDD"/>
    <w:rsid w:val="00793DED"/>
    <w:rsid w:val="00793E7A"/>
    <w:rsid w:val="00793EE2"/>
    <w:rsid w:val="00793F70"/>
    <w:rsid w:val="0079436C"/>
    <w:rsid w:val="007947FB"/>
    <w:rsid w:val="00794980"/>
    <w:rsid w:val="007949DE"/>
    <w:rsid w:val="007954AC"/>
    <w:rsid w:val="007954F1"/>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4D6"/>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B19"/>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13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7B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50E"/>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52C"/>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26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A4"/>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581"/>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896"/>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1D5"/>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9C0"/>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2F01"/>
    <w:rsid w:val="00883004"/>
    <w:rsid w:val="00883AC4"/>
    <w:rsid w:val="00883D18"/>
    <w:rsid w:val="00883ED6"/>
    <w:rsid w:val="00883F8F"/>
    <w:rsid w:val="00884255"/>
    <w:rsid w:val="0088425B"/>
    <w:rsid w:val="00884A4F"/>
    <w:rsid w:val="00884A6F"/>
    <w:rsid w:val="00884EE8"/>
    <w:rsid w:val="00884F48"/>
    <w:rsid w:val="0088517E"/>
    <w:rsid w:val="0088579F"/>
    <w:rsid w:val="0088582F"/>
    <w:rsid w:val="0088599D"/>
    <w:rsid w:val="00885D5D"/>
    <w:rsid w:val="00885F46"/>
    <w:rsid w:val="00886012"/>
    <w:rsid w:val="00886116"/>
    <w:rsid w:val="0088620E"/>
    <w:rsid w:val="00886251"/>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EA4"/>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644"/>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88"/>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49"/>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83E"/>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06"/>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87D"/>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02"/>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96B"/>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60A"/>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B1"/>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54"/>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09B"/>
    <w:rsid w:val="00961120"/>
    <w:rsid w:val="009612F1"/>
    <w:rsid w:val="009613DF"/>
    <w:rsid w:val="00961591"/>
    <w:rsid w:val="009616FA"/>
    <w:rsid w:val="00961A6C"/>
    <w:rsid w:val="00961E6D"/>
    <w:rsid w:val="00961F21"/>
    <w:rsid w:val="009621C2"/>
    <w:rsid w:val="009621FF"/>
    <w:rsid w:val="00962269"/>
    <w:rsid w:val="00962444"/>
    <w:rsid w:val="0096292B"/>
    <w:rsid w:val="00962AA6"/>
    <w:rsid w:val="00962EF1"/>
    <w:rsid w:val="009630EC"/>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22E"/>
    <w:rsid w:val="00980403"/>
    <w:rsid w:val="009804CB"/>
    <w:rsid w:val="00980630"/>
    <w:rsid w:val="0098075B"/>
    <w:rsid w:val="00980761"/>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518"/>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9F0"/>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4E82"/>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6DA"/>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41A"/>
    <w:rsid w:val="009D45AF"/>
    <w:rsid w:val="009D4670"/>
    <w:rsid w:val="009D478C"/>
    <w:rsid w:val="009D49A4"/>
    <w:rsid w:val="009D4A5D"/>
    <w:rsid w:val="009D4A8E"/>
    <w:rsid w:val="009D4DA3"/>
    <w:rsid w:val="009D4F78"/>
    <w:rsid w:val="009D5CFC"/>
    <w:rsid w:val="009D608A"/>
    <w:rsid w:val="009D610C"/>
    <w:rsid w:val="009D62E7"/>
    <w:rsid w:val="009D632B"/>
    <w:rsid w:val="009D69C1"/>
    <w:rsid w:val="009D69DA"/>
    <w:rsid w:val="009D6C80"/>
    <w:rsid w:val="009D6D32"/>
    <w:rsid w:val="009D7269"/>
    <w:rsid w:val="009D7550"/>
    <w:rsid w:val="009D75A4"/>
    <w:rsid w:val="009D79A3"/>
    <w:rsid w:val="009E0292"/>
    <w:rsid w:val="009E0D2B"/>
    <w:rsid w:val="009E1030"/>
    <w:rsid w:val="009E11A9"/>
    <w:rsid w:val="009E1299"/>
    <w:rsid w:val="009E12C6"/>
    <w:rsid w:val="009E14A5"/>
    <w:rsid w:val="009E1604"/>
    <w:rsid w:val="009E176B"/>
    <w:rsid w:val="009E1E08"/>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13F"/>
    <w:rsid w:val="009F265D"/>
    <w:rsid w:val="009F2E7E"/>
    <w:rsid w:val="009F32D6"/>
    <w:rsid w:val="009F3963"/>
    <w:rsid w:val="009F3A4B"/>
    <w:rsid w:val="009F41E1"/>
    <w:rsid w:val="009F4375"/>
    <w:rsid w:val="009F4652"/>
    <w:rsid w:val="009F4745"/>
    <w:rsid w:val="009F4834"/>
    <w:rsid w:val="009F4C7A"/>
    <w:rsid w:val="009F4E57"/>
    <w:rsid w:val="009F4F05"/>
    <w:rsid w:val="009F548A"/>
    <w:rsid w:val="009F5580"/>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99C"/>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7A8"/>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33"/>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3E64"/>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7B7"/>
    <w:rsid w:val="00A66824"/>
    <w:rsid w:val="00A66A5A"/>
    <w:rsid w:val="00A66C20"/>
    <w:rsid w:val="00A66C7C"/>
    <w:rsid w:val="00A670A8"/>
    <w:rsid w:val="00A6724C"/>
    <w:rsid w:val="00A677C1"/>
    <w:rsid w:val="00A67A8E"/>
    <w:rsid w:val="00A67AC6"/>
    <w:rsid w:val="00A67B0F"/>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19B8"/>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BF2"/>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3DF"/>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6D"/>
    <w:rsid w:val="00AF6591"/>
    <w:rsid w:val="00AF65AB"/>
    <w:rsid w:val="00AF662D"/>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C87"/>
    <w:rsid w:val="00B10E06"/>
    <w:rsid w:val="00B10FC2"/>
    <w:rsid w:val="00B111BF"/>
    <w:rsid w:val="00B114C4"/>
    <w:rsid w:val="00B115A1"/>
    <w:rsid w:val="00B11882"/>
    <w:rsid w:val="00B118D4"/>
    <w:rsid w:val="00B11B6D"/>
    <w:rsid w:val="00B11CCC"/>
    <w:rsid w:val="00B11E29"/>
    <w:rsid w:val="00B11EA9"/>
    <w:rsid w:val="00B12440"/>
    <w:rsid w:val="00B12812"/>
    <w:rsid w:val="00B128A4"/>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B6C"/>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619"/>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3CE"/>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69A"/>
    <w:rsid w:val="00B57861"/>
    <w:rsid w:val="00B57A15"/>
    <w:rsid w:val="00B57B2E"/>
    <w:rsid w:val="00B57EB5"/>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903"/>
    <w:rsid w:val="00B73B14"/>
    <w:rsid w:val="00B74182"/>
    <w:rsid w:val="00B741DB"/>
    <w:rsid w:val="00B74791"/>
    <w:rsid w:val="00B74A0D"/>
    <w:rsid w:val="00B74EC0"/>
    <w:rsid w:val="00B754FE"/>
    <w:rsid w:val="00B75667"/>
    <w:rsid w:val="00B75A06"/>
    <w:rsid w:val="00B75F2C"/>
    <w:rsid w:val="00B75F4E"/>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7C1"/>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090D"/>
    <w:rsid w:val="00BA09DA"/>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70"/>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8D4"/>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1FD"/>
    <w:rsid w:val="00BC65C5"/>
    <w:rsid w:val="00BC6613"/>
    <w:rsid w:val="00BC6BDE"/>
    <w:rsid w:val="00BC7062"/>
    <w:rsid w:val="00BC70D5"/>
    <w:rsid w:val="00BC7102"/>
    <w:rsid w:val="00BC71C5"/>
    <w:rsid w:val="00BC729B"/>
    <w:rsid w:val="00BC7659"/>
    <w:rsid w:val="00BC77C9"/>
    <w:rsid w:val="00BC77E8"/>
    <w:rsid w:val="00BC791A"/>
    <w:rsid w:val="00BC7A00"/>
    <w:rsid w:val="00BC7A42"/>
    <w:rsid w:val="00BD013E"/>
    <w:rsid w:val="00BD082C"/>
    <w:rsid w:val="00BD09A3"/>
    <w:rsid w:val="00BD0F6C"/>
    <w:rsid w:val="00BD0FC4"/>
    <w:rsid w:val="00BD140B"/>
    <w:rsid w:val="00BD1663"/>
    <w:rsid w:val="00BD238C"/>
    <w:rsid w:val="00BD2605"/>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195"/>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7AC"/>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240"/>
    <w:rsid w:val="00C3045A"/>
    <w:rsid w:val="00C305F4"/>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9DC"/>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844"/>
    <w:rsid w:val="00C51A39"/>
    <w:rsid w:val="00C51D11"/>
    <w:rsid w:val="00C51EF2"/>
    <w:rsid w:val="00C5257E"/>
    <w:rsid w:val="00C52BEC"/>
    <w:rsid w:val="00C52C1B"/>
    <w:rsid w:val="00C531B4"/>
    <w:rsid w:val="00C531FF"/>
    <w:rsid w:val="00C532F9"/>
    <w:rsid w:val="00C536C2"/>
    <w:rsid w:val="00C5391E"/>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759"/>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5C71"/>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00"/>
    <w:rsid w:val="00CA0186"/>
    <w:rsid w:val="00CA0279"/>
    <w:rsid w:val="00CA0698"/>
    <w:rsid w:val="00CA09AA"/>
    <w:rsid w:val="00CA0ABE"/>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5EB"/>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423"/>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5FC9"/>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1F06"/>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161"/>
    <w:rsid w:val="00CD325D"/>
    <w:rsid w:val="00CD3480"/>
    <w:rsid w:val="00CD374A"/>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8A1"/>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88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AD5"/>
    <w:rsid w:val="00D07DCA"/>
    <w:rsid w:val="00D100FC"/>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CF8"/>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1955"/>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795"/>
    <w:rsid w:val="00D31B45"/>
    <w:rsid w:val="00D31B9F"/>
    <w:rsid w:val="00D31BEA"/>
    <w:rsid w:val="00D31EA1"/>
    <w:rsid w:val="00D31F50"/>
    <w:rsid w:val="00D321C9"/>
    <w:rsid w:val="00D32A6E"/>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B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4EB"/>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0FD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828"/>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5EC"/>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325"/>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CD7"/>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1D"/>
    <w:rsid w:val="00DB3D30"/>
    <w:rsid w:val="00DB3D52"/>
    <w:rsid w:val="00DB3E9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056"/>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6E84"/>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B"/>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09C"/>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7B"/>
    <w:rsid w:val="00E35DF1"/>
    <w:rsid w:val="00E35F47"/>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5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3890"/>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1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39B"/>
    <w:rsid w:val="00EB1705"/>
    <w:rsid w:val="00EB177A"/>
    <w:rsid w:val="00EB17CB"/>
    <w:rsid w:val="00EB1819"/>
    <w:rsid w:val="00EB187D"/>
    <w:rsid w:val="00EB1988"/>
    <w:rsid w:val="00EB1A7B"/>
    <w:rsid w:val="00EB1AE8"/>
    <w:rsid w:val="00EB2435"/>
    <w:rsid w:val="00EB269A"/>
    <w:rsid w:val="00EB2B2A"/>
    <w:rsid w:val="00EB2C33"/>
    <w:rsid w:val="00EB2C3C"/>
    <w:rsid w:val="00EB2FD7"/>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1D5"/>
    <w:rsid w:val="00EF447D"/>
    <w:rsid w:val="00EF47F0"/>
    <w:rsid w:val="00EF48B7"/>
    <w:rsid w:val="00EF493B"/>
    <w:rsid w:val="00EF4F32"/>
    <w:rsid w:val="00EF52E9"/>
    <w:rsid w:val="00EF5326"/>
    <w:rsid w:val="00EF5630"/>
    <w:rsid w:val="00EF573A"/>
    <w:rsid w:val="00EF5861"/>
    <w:rsid w:val="00EF58EF"/>
    <w:rsid w:val="00EF5D0A"/>
    <w:rsid w:val="00EF6060"/>
    <w:rsid w:val="00EF6141"/>
    <w:rsid w:val="00EF6926"/>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944"/>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14C"/>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CE"/>
    <w:rsid w:val="00F134F0"/>
    <w:rsid w:val="00F138CE"/>
    <w:rsid w:val="00F139C0"/>
    <w:rsid w:val="00F13D0B"/>
    <w:rsid w:val="00F13EB3"/>
    <w:rsid w:val="00F13FAF"/>
    <w:rsid w:val="00F1403E"/>
    <w:rsid w:val="00F1415B"/>
    <w:rsid w:val="00F1473D"/>
    <w:rsid w:val="00F1476B"/>
    <w:rsid w:val="00F149F8"/>
    <w:rsid w:val="00F14A44"/>
    <w:rsid w:val="00F15860"/>
    <w:rsid w:val="00F15A87"/>
    <w:rsid w:val="00F15B76"/>
    <w:rsid w:val="00F15F91"/>
    <w:rsid w:val="00F16628"/>
    <w:rsid w:val="00F1690F"/>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00"/>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07D6"/>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14D"/>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10"/>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8F5"/>
    <w:rsid w:val="00FB7A9C"/>
    <w:rsid w:val="00FC0212"/>
    <w:rsid w:val="00FC04F0"/>
    <w:rsid w:val="00FC0AB4"/>
    <w:rsid w:val="00FC0B8E"/>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9DA"/>
    <w:rsid w:val="00FC2A1C"/>
    <w:rsid w:val="00FC2D85"/>
    <w:rsid w:val="00FC310E"/>
    <w:rsid w:val="00FC312F"/>
    <w:rsid w:val="00FC32FC"/>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0A"/>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56"/>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4"/>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aliases w:val="Table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出段落"/>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_msonormal"/>
    <w:basedOn w:val="a"/>
    <w:qFormat/>
    <w:rsid w:val="00F15B76"/>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 w:type="paragraph" w:customStyle="1" w:styleId="maintext">
    <w:name w:val="main text"/>
    <w:basedOn w:val="a"/>
    <w:link w:val="maintextChar"/>
    <w:qFormat/>
    <w:rsid w:val="00CA45EB"/>
    <w:pPr>
      <w:overflowPunct/>
      <w:autoSpaceDE/>
      <w:autoSpaceDN/>
      <w:adjustRightInd/>
      <w:ind w:firstLineChars="200" w:firstLine="200"/>
      <w:textAlignment w:val="auto"/>
    </w:pPr>
    <w:rPr>
      <w:rFonts w:eastAsia="Malgun Gothic"/>
      <w:lang w:eastAsia="ko-KR"/>
    </w:rPr>
  </w:style>
  <w:style w:type="character" w:customStyle="1" w:styleId="maintextChar">
    <w:name w:val="main text Char"/>
    <w:link w:val="maintext"/>
    <w:qFormat/>
    <w:rsid w:val="00CA45EB"/>
    <w:rPr>
      <w:rFonts w:ascii="Times New Roman" w:eastAsia="Malgun Gothic" w:hAnsi="Times New Roman"/>
      <w:lang w:val="en-GB" w:eastAsia="ko-KR"/>
    </w:rPr>
  </w:style>
  <w:style w:type="numbering" w:customStyle="1" w:styleId="StyleBulletedSymbolsymbolLeft025Hanging0251">
    <w:name w:val="Style Bulleted Symbol (symbol) Left:  0.25&quot; Hanging:  0.25&quot;1"/>
    <w:basedOn w:val="a2"/>
    <w:rsid w:val="00CA45EB"/>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4764102">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43B3F6B9-B55B-493C-BDD9-60D54115B112}">
  <ds:schemaRefs>
    <ds:schemaRef ds:uri="http://schemas.openxmlformats.org/officeDocument/2006/bibliography"/>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CBDB177C-A73F-4EF9-9537-254BDFFF3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2</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51</cp:revision>
  <cp:lastPrinted>2016-05-08T02:33:00Z</cp:lastPrinted>
  <dcterms:created xsi:type="dcterms:W3CDTF">2023-08-07T06:06:00Z</dcterms:created>
  <dcterms:modified xsi:type="dcterms:W3CDTF">2023-09-28T14:12:00Z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acf0b6d0165211ee80004d8400004c84">
    <vt:lpwstr>CWMm1qzGbZ0/vEbjOLuQ7IQfk/KpCDddk7zvDQxdLlxjvx3Fj8y4nVMNxmBp+M+Trd+EAl+Z7U6IOT6kHwrfUl29Q==</vt:lpwstr>
  </property>
</Properties>
</file>